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856B" w14:textId="4CC63F42"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Amec Foster Wheeler Ener</w:t>
      </w:r>
      <w:r w:rsidR="00393AC4">
        <w:rPr>
          <w:rFonts w:ascii="Segoe UI" w:hAnsi="Segoe UI" w:cs="Segoe UI"/>
          <w:sz w:val="16"/>
          <w:szCs w:val="16"/>
        </w:rPr>
        <w:t>g</w:t>
      </w:r>
      <w:r w:rsidRPr="00635388">
        <w:rPr>
          <w:rFonts w:ascii="Segoe UI" w:hAnsi="Segoe UI" w:cs="Segoe UI"/>
          <w:sz w:val="16"/>
          <w:szCs w:val="16"/>
        </w:rPr>
        <w:t>y &amp; Partners Engineering Company</w:t>
      </w:r>
    </w:p>
    <w:p w14:paraId="05124060"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P.O. Box 30920</w:t>
      </w:r>
    </w:p>
    <w:p w14:paraId="283C68EF"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 Faisal Road</w:t>
      </w:r>
    </w:p>
    <w:p w14:paraId="30926C4C"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Al-Khobar 31952</w:t>
      </w:r>
    </w:p>
    <w:p w14:paraId="7C51606B" w14:textId="5E686CF9"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Kingdom of Saudi Arabia</w:t>
      </w:r>
    </w:p>
    <w:p w14:paraId="58ECEDA5" w14:textId="77777777" w:rsidR="00825836" w:rsidRPr="00635388" w:rsidRDefault="00825836" w:rsidP="00825836">
      <w:pPr>
        <w:pStyle w:val="WDCoverClient"/>
        <w:spacing w:after="0"/>
        <w:jc w:val="right"/>
        <w:rPr>
          <w:rFonts w:cs="Segoe UI"/>
          <w:sz w:val="16"/>
          <w:szCs w:val="16"/>
        </w:rPr>
      </w:pPr>
      <w:r w:rsidRPr="00635388">
        <w:rPr>
          <w:rFonts w:cs="Segoe UI"/>
          <w:sz w:val="16"/>
          <w:szCs w:val="16"/>
        </w:rPr>
        <w:t>T +966 (0)13 668 5555</w:t>
      </w:r>
    </w:p>
    <w:p w14:paraId="1465A7B0" w14:textId="48AB1493" w:rsidR="00825836" w:rsidRPr="00635388" w:rsidRDefault="00825836" w:rsidP="00825836">
      <w:pPr>
        <w:pStyle w:val="WDBody"/>
        <w:rPr>
          <w:rFonts w:cs="Segoe UI"/>
          <w:szCs w:val="20"/>
        </w:rPr>
      </w:pPr>
    </w:p>
    <w:p w14:paraId="1ADECF20" w14:textId="215D814B" w:rsidR="00825836" w:rsidRPr="00635388" w:rsidRDefault="00825836" w:rsidP="00825836">
      <w:pPr>
        <w:pStyle w:val="WDCoverClient"/>
        <w:spacing w:after="0"/>
        <w:jc w:val="right"/>
        <w:rPr>
          <w:rFonts w:cs="Segoe UI"/>
          <w:color w:val="884C91" w:themeColor="text2"/>
          <w:sz w:val="32"/>
          <w:szCs w:val="32"/>
        </w:rPr>
      </w:pPr>
    </w:p>
    <w:p w14:paraId="70BCBD56" w14:textId="4ECE0277" w:rsidR="00825836" w:rsidRPr="00635388" w:rsidRDefault="00C21EB0" w:rsidP="00825836">
      <w:pPr>
        <w:pStyle w:val="WDCoverClient"/>
        <w:spacing w:after="0"/>
        <w:jc w:val="right"/>
        <w:rPr>
          <w:rFonts w:cs="Segoe UI"/>
          <w:color w:val="884C91" w:themeColor="text2"/>
          <w:sz w:val="32"/>
          <w:szCs w:val="32"/>
        </w:rPr>
      </w:pPr>
      <w:r w:rsidRPr="00C21EB0">
        <w:rPr>
          <w:rFonts w:cs="Segoe UI"/>
          <w:color w:val="884C91" w:themeColor="text2"/>
          <w:sz w:val="32"/>
          <w:szCs w:val="32"/>
        </w:rPr>
        <w:t>NEOM Regional Baseline &amp; Monitoring Program</w:t>
      </w:r>
    </w:p>
    <w:p w14:paraId="2A21A0E4" w14:textId="74E2004F" w:rsidR="00825836" w:rsidRPr="00635388" w:rsidRDefault="00825836" w:rsidP="00825836">
      <w:pPr>
        <w:pStyle w:val="WDDocTitle"/>
        <w:rPr>
          <w:rFonts w:cs="Segoe UI"/>
          <w:sz w:val="27"/>
          <w:szCs w:val="27"/>
        </w:rPr>
      </w:pPr>
    </w:p>
    <w:p w14:paraId="67260485" w14:textId="725FE808" w:rsidR="00C35A6D" w:rsidRPr="00635388" w:rsidRDefault="00A866F4" w:rsidP="00825836">
      <w:pPr>
        <w:pStyle w:val="WDCoverClient"/>
        <w:jc w:val="right"/>
        <w:rPr>
          <w:color w:val="002060"/>
          <w:sz w:val="32"/>
          <w:szCs w:val="32"/>
        </w:rPr>
        <w:sectPr w:rsidR="00C35A6D" w:rsidRPr="00635388" w:rsidSect="00A27BE2">
          <w:headerReference w:type="default" r:id="rId11"/>
          <w:pgSz w:w="11906" w:h="16838" w:code="9"/>
          <w:pgMar w:top="2722" w:right="1134" w:bottom="567" w:left="1134" w:header="737" w:footer="567" w:gutter="0"/>
          <w:cols w:space="708"/>
          <w:docGrid w:linePitch="360"/>
        </w:sectPr>
      </w:pPr>
      <w:r>
        <w:rPr>
          <w:noProof/>
          <w:lang w:eastAsia="en-GB"/>
        </w:rPr>
        <w:drawing>
          <wp:anchor distT="0" distB="0" distL="114300" distR="114300" simplePos="0" relativeHeight="251658243" behindDoc="0" locked="0" layoutInCell="1" allowOverlap="1" wp14:anchorId="37D0D39E" wp14:editId="4B615491">
            <wp:simplePos x="0" y="0"/>
            <wp:positionH relativeFrom="column">
              <wp:posOffset>-692340</wp:posOffset>
            </wp:positionH>
            <wp:positionV relativeFrom="paragraph">
              <wp:posOffset>772795</wp:posOffset>
            </wp:positionV>
            <wp:extent cx="7533005" cy="4580255"/>
            <wp:effectExtent l="0" t="0" r="0" b="0"/>
            <wp:wrapThrough wrapText="bothSides">
              <wp:wrapPolygon edited="0">
                <wp:start x="0" y="0"/>
                <wp:lineTo x="0" y="21471"/>
                <wp:lineTo x="21522" y="21471"/>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alphaModFix amt="90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7533005" cy="4580255"/>
                    </a:xfrm>
                    <a:prstGeom prst="rect">
                      <a:avLst/>
                    </a:prstGeom>
                    <a:noFill/>
                    <a:ln>
                      <a:noFill/>
                    </a:ln>
                  </pic:spPr>
                </pic:pic>
              </a:graphicData>
            </a:graphic>
            <wp14:sizeRelV relativeFrom="margin">
              <wp14:pctHeight>0</wp14:pctHeight>
            </wp14:sizeRelV>
          </wp:anchor>
        </w:drawing>
      </w:r>
      <w:r w:rsidR="00540932" w:rsidRPr="00635388">
        <w:rPr>
          <w:noProof/>
          <w:lang w:eastAsia="en-GB"/>
        </w:rPr>
        <mc:AlternateContent>
          <mc:Choice Requires="wps">
            <w:drawing>
              <wp:anchor distT="0" distB="0" distL="114300" distR="114300" simplePos="0" relativeHeight="251658241" behindDoc="0" locked="0" layoutInCell="1" allowOverlap="1" wp14:anchorId="0F502E4E" wp14:editId="50D5881F">
                <wp:simplePos x="0" y="0"/>
                <wp:positionH relativeFrom="page">
                  <wp:posOffset>1080655</wp:posOffset>
                </wp:positionH>
                <wp:positionV relativeFrom="page">
                  <wp:posOffset>10224655</wp:posOffset>
                </wp:positionV>
                <wp:extent cx="5857240" cy="495045"/>
                <wp:effectExtent l="0" t="0" r="0" b="6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8F14" w14:textId="061CF14B" w:rsidR="002C12EA" w:rsidRDefault="002C12EA"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2C12EA" w:rsidRDefault="002C12EA" w:rsidP="002F559E">
                            <w:pPr>
                              <w:pStyle w:val="WD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2E4E" id="_x0000_t202" coordsize="21600,21600" o:spt="202" path="m,l,21600r21600,l21600,xe">
                <v:stroke joinstyle="miter"/>
                <v:path gradientshapeok="t" o:connecttype="rect"/>
              </v:shapetype>
              <v:shape id="Text Box 25" o:spid="_x0000_s1026" type="#_x0000_t202" style="position:absolute;left:0;text-align:left;margin-left:85.1pt;margin-top:805.1pt;width:461.2pt;height: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" filled="f" stroked="f">
                <v:textbox>
                  <w:txbxContent>
                    <w:p w14:paraId="799A8F14" w14:textId="061CF14B" w:rsidR="002C12EA" w:rsidRDefault="002C12EA"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2C12EA" w:rsidRDefault="002C12EA" w:rsidP="002F559E">
                      <w:pPr>
                        <w:pStyle w:val="WDBody"/>
                      </w:pPr>
                    </w:p>
                  </w:txbxContent>
                </v:textbox>
                <w10:wrap anchorx="page" anchory="page"/>
              </v:shape>
            </w:pict>
          </mc:Fallback>
        </mc:AlternateContent>
      </w:r>
      <w:r w:rsidR="00CE7B9D">
        <w:rPr>
          <w:b/>
          <w:color w:val="002060"/>
          <w:sz w:val="32"/>
          <w:szCs w:val="32"/>
        </w:rPr>
        <w:t>Marine</w:t>
      </w:r>
      <w:r w:rsidR="00075905">
        <w:rPr>
          <w:b/>
          <w:color w:val="002060"/>
          <w:sz w:val="32"/>
          <w:szCs w:val="32"/>
        </w:rPr>
        <w:t xml:space="preserve"> </w:t>
      </w:r>
      <w:r w:rsidR="00231E9B">
        <w:rPr>
          <w:b/>
          <w:color w:val="002060"/>
          <w:sz w:val="32"/>
          <w:szCs w:val="32"/>
        </w:rPr>
        <w:t>Monitoring Standards</w:t>
      </w:r>
      <w:r w:rsidR="00825836" w:rsidRPr="00635388">
        <w:rPr>
          <w:noProof/>
          <w:lang w:eastAsia="en-GB"/>
        </w:rPr>
        <w:drawing>
          <wp:anchor distT="0" distB="0" distL="114300" distR="114300" simplePos="0" relativeHeight="251658240" behindDoc="1" locked="0" layoutInCell="1" allowOverlap="1" wp14:anchorId="36E85FF7" wp14:editId="237D071F">
            <wp:simplePos x="0" y="0"/>
            <wp:positionH relativeFrom="page">
              <wp:posOffset>0</wp:posOffset>
            </wp:positionH>
            <wp:positionV relativeFrom="page">
              <wp:posOffset>3136900</wp:posOffset>
            </wp:positionV>
            <wp:extent cx="7559675" cy="7098665"/>
            <wp:effectExtent l="0" t="0" r="317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7098665"/>
                    </a:xfrm>
                    <a:prstGeom prst="rect">
                      <a:avLst/>
                    </a:prstGeom>
                    <a:noFill/>
                  </pic:spPr>
                </pic:pic>
              </a:graphicData>
            </a:graphic>
            <wp14:sizeRelH relativeFrom="margin">
              <wp14:pctWidth>0</wp14:pctWidth>
            </wp14:sizeRelH>
            <wp14:sizeRelV relativeFrom="margin">
              <wp14:pctHeight>0</wp14:pctHeight>
            </wp14:sizeRelV>
          </wp:anchor>
        </w:drawing>
      </w:r>
      <w:r w:rsidR="00825836" w:rsidRPr="00635388">
        <w:br/>
      </w:r>
    </w:p>
    <w:p w14:paraId="38885D46" w14:textId="77777777" w:rsidR="00C11E12" w:rsidRPr="00635388" w:rsidRDefault="00266160" w:rsidP="000629C6">
      <w:pPr>
        <w:pStyle w:val="WDReleaseHeadings"/>
      </w:pPr>
      <w:bookmarkStart w:id="0" w:name="release_page"/>
      <w:bookmarkEnd w:id="0"/>
      <w:r w:rsidRPr="00635388">
        <w:lastRenderedPageBreak/>
        <w:t>Report</w:t>
      </w:r>
      <w:r w:rsidR="00C11E12" w:rsidRPr="00635388">
        <w:t xml:space="preserve"> for</w:t>
      </w:r>
    </w:p>
    <w:p w14:paraId="626F230A" w14:textId="1F79806A" w:rsidR="00E67C68" w:rsidRPr="00635388" w:rsidRDefault="004A145C" w:rsidP="00736890">
      <w:pPr>
        <w:pStyle w:val="WDBodySmall"/>
      </w:pPr>
      <w:bookmarkStart w:id="1" w:name="release_docfor_name"/>
      <w:bookmarkEnd w:id="1"/>
      <w:r>
        <w:t>NEOM</w:t>
      </w:r>
    </w:p>
    <w:p w14:paraId="5CA023F4" w14:textId="77777777" w:rsidR="00C11E12" w:rsidRPr="00635388" w:rsidRDefault="00C11E12" w:rsidP="00736890">
      <w:pPr>
        <w:pStyle w:val="WDBodySmall"/>
      </w:pPr>
      <w:bookmarkStart w:id="2" w:name="release_docfor_position"/>
      <w:bookmarkEnd w:id="2"/>
    </w:p>
    <w:p w14:paraId="06902202" w14:textId="77777777" w:rsidR="00C11E12" w:rsidRPr="00635388" w:rsidRDefault="00C11E12" w:rsidP="00736890">
      <w:pPr>
        <w:pStyle w:val="WDBodySmall"/>
      </w:pPr>
      <w:bookmarkStart w:id="3" w:name="release_customer_org"/>
      <w:bookmarkEnd w:id="3"/>
    </w:p>
    <w:p w14:paraId="62755C73" w14:textId="77777777" w:rsidR="00E67C68" w:rsidRPr="00635388" w:rsidRDefault="00E67C68" w:rsidP="00736890">
      <w:pPr>
        <w:pStyle w:val="WDBodySmall"/>
      </w:pPr>
      <w:bookmarkStart w:id="4" w:name="release_docfor_address"/>
      <w:bookmarkEnd w:id="4"/>
    </w:p>
    <w:p w14:paraId="4B688AAF" w14:textId="3C1C61A5" w:rsidR="00C11E12" w:rsidRDefault="00C11E12" w:rsidP="000629C6">
      <w:pPr>
        <w:pStyle w:val="WDReleaseHeadings"/>
      </w:pPr>
      <w:r w:rsidRPr="00635388">
        <w:t>Main contributors</w:t>
      </w:r>
    </w:p>
    <w:p w14:paraId="27DACC36" w14:textId="088C02C6" w:rsidR="00FF0E64" w:rsidRDefault="00FF0E64" w:rsidP="00FF0E64">
      <w:pPr>
        <w:pStyle w:val="WDBodySmall"/>
      </w:pPr>
      <w:r>
        <w:t>Richard McMullan</w:t>
      </w:r>
    </w:p>
    <w:p w14:paraId="693A1740" w14:textId="2726FDB2" w:rsidR="00FF0E64" w:rsidRPr="00FF0E64" w:rsidRDefault="00FF0E64" w:rsidP="00FF0E64">
      <w:pPr>
        <w:pStyle w:val="WDBodySmall"/>
      </w:pPr>
      <w:r>
        <w:t>Jo Jarrah</w:t>
      </w:r>
    </w:p>
    <w:p w14:paraId="1CBE04B4" w14:textId="77777777" w:rsidR="00C11E12" w:rsidRPr="00635388" w:rsidRDefault="00C11E12" w:rsidP="000629C6">
      <w:pPr>
        <w:pStyle w:val="WDReleaseHeadings"/>
      </w:pPr>
      <w:bookmarkStart w:id="5" w:name="release_main_contribs"/>
      <w:bookmarkEnd w:id="5"/>
      <w:r w:rsidRPr="00635388">
        <w:t>Issued by</w:t>
      </w:r>
    </w:p>
    <w:p w14:paraId="40C71C39" w14:textId="77777777" w:rsidR="00CD427B" w:rsidRPr="00635388" w:rsidRDefault="00CD427B" w:rsidP="00736890">
      <w:pPr>
        <w:pStyle w:val="WDBodySmall"/>
      </w:pPr>
    </w:p>
    <w:p w14:paraId="31927E57" w14:textId="64AB9937" w:rsidR="00CD427B" w:rsidRPr="00635388" w:rsidRDefault="00CD427B" w:rsidP="00CD427B">
      <w:pPr>
        <w:pStyle w:val="WDBodySmall"/>
      </w:pPr>
    </w:p>
    <w:p w14:paraId="5C059BF5" w14:textId="59A35D4B" w:rsidR="00C11E12" w:rsidRDefault="00C11E12" w:rsidP="00736890">
      <w:pPr>
        <w:pStyle w:val="WDBodySmall"/>
      </w:pPr>
      <w:r w:rsidRPr="00635388">
        <w:t>..............................</w:t>
      </w:r>
      <w:r w:rsidR="00960086" w:rsidRPr="00635388">
        <w:t>...................................................</w:t>
      </w:r>
    </w:p>
    <w:p w14:paraId="6B3EEFF8" w14:textId="706B88B1" w:rsidR="00FF0E64" w:rsidRPr="00635388" w:rsidRDefault="00FF0E64" w:rsidP="00736890">
      <w:pPr>
        <w:pStyle w:val="WDBodySmall"/>
      </w:pPr>
      <w:r>
        <w:t>Jeremy Short</w:t>
      </w:r>
    </w:p>
    <w:p w14:paraId="60EB4D10" w14:textId="77777777" w:rsidR="00C11E12" w:rsidRPr="00635388" w:rsidRDefault="00C11E12" w:rsidP="000629C6">
      <w:pPr>
        <w:pStyle w:val="WDReleaseHeadings"/>
      </w:pPr>
      <w:bookmarkStart w:id="6" w:name="release_issuedby"/>
      <w:bookmarkEnd w:id="6"/>
      <w:r w:rsidRPr="00635388">
        <w:t>Approved by</w:t>
      </w:r>
    </w:p>
    <w:p w14:paraId="3DF83654" w14:textId="77777777" w:rsidR="00CD427B" w:rsidRPr="00635388" w:rsidRDefault="00CD427B" w:rsidP="00960086">
      <w:pPr>
        <w:pStyle w:val="WDBodySmall"/>
      </w:pPr>
    </w:p>
    <w:p w14:paraId="76491459" w14:textId="695B72A3" w:rsidR="00CD427B" w:rsidRPr="00635388" w:rsidRDefault="00CD427B" w:rsidP="00CD427B">
      <w:pPr>
        <w:pStyle w:val="WDBodySmall"/>
      </w:pPr>
    </w:p>
    <w:p w14:paraId="6C9E8062" w14:textId="77777777" w:rsidR="00960086" w:rsidRPr="00635388" w:rsidRDefault="00960086" w:rsidP="00960086">
      <w:pPr>
        <w:pStyle w:val="WDBodySmall"/>
      </w:pPr>
      <w:r w:rsidRPr="00635388">
        <w:t>.................................................................................</w:t>
      </w:r>
    </w:p>
    <w:p w14:paraId="17B018BB" w14:textId="4E462BC4" w:rsidR="00736890" w:rsidRPr="00635388" w:rsidRDefault="00152BAD" w:rsidP="00736890">
      <w:pPr>
        <w:pStyle w:val="WDBodySmall"/>
      </w:pPr>
      <w:bookmarkStart w:id="7" w:name="release_approvedby"/>
      <w:bookmarkEnd w:id="7"/>
      <w:r w:rsidRPr="00635388">
        <w:t>Tarek Hamade PhD, MBA, PEng</w:t>
      </w:r>
    </w:p>
    <w:p w14:paraId="59B16B6A" w14:textId="77777777" w:rsidR="006243BF" w:rsidRPr="00635388" w:rsidRDefault="001548A3" w:rsidP="006243BF">
      <w:pPr>
        <w:pStyle w:val="WDReleaseHeadings"/>
      </w:pPr>
      <w:r w:rsidRPr="00635388">
        <w:t>Wood</w:t>
      </w:r>
    </w:p>
    <w:p w14:paraId="1E2D552D" w14:textId="77777777" w:rsidR="003B3074" w:rsidRDefault="003B3074" w:rsidP="003B3074">
      <w:pPr>
        <w:pStyle w:val="WDBodySmall"/>
      </w:pPr>
      <w:bookmarkStart w:id="8" w:name="release_our_address"/>
      <w:bookmarkEnd w:id="8"/>
      <w:r>
        <w:t>Amec Foster Wheeler Energy &amp; Partners Engineering Company</w:t>
      </w:r>
    </w:p>
    <w:p w14:paraId="4C296A5A" w14:textId="77777777" w:rsidR="003B3074" w:rsidRDefault="003B3074" w:rsidP="003B3074">
      <w:pPr>
        <w:pStyle w:val="WDBodySmall"/>
      </w:pPr>
      <w:r>
        <w:t>P.O. Box 30920</w:t>
      </w:r>
    </w:p>
    <w:p w14:paraId="6BE1D1B7" w14:textId="77777777" w:rsidR="003B3074" w:rsidRDefault="003B3074" w:rsidP="003B3074">
      <w:pPr>
        <w:pStyle w:val="WDBodySmall"/>
      </w:pPr>
      <w:r>
        <w:t>King Faisal Road</w:t>
      </w:r>
    </w:p>
    <w:p w14:paraId="51373D36" w14:textId="77777777" w:rsidR="003B3074" w:rsidRDefault="003B3074" w:rsidP="003B3074">
      <w:pPr>
        <w:pStyle w:val="WDBodySmall"/>
      </w:pPr>
      <w:r>
        <w:t>Al-Khobar 31952</w:t>
      </w:r>
    </w:p>
    <w:p w14:paraId="4F341177" w14:textId="77777777" w:rsidR="003B3074" w:rsidRDefault="003B3074" w:rsidP="003B3074">
      <w:pPr>
        <w:pStyle w:val="WDBodySmall"/>
      </w:pPr>
      <w:r>
        <w:t>Kingdom of Saudi Arabia</w:t>
      </w:r>
    </w:p>
    <w:p w14:paraId="0817D82D" w14:textId="1B8EDBB3" w:rsidR="00C22195" w:rsidRPr="00635388" w:rsidRDefault="003B3074" w:rsidP="00C22195">
      <w:pPr>
        <w:pStyle w:val="WDBodySmall"/>
      </w:pPr>
      <w:r>
        <w:t>T +966 (0)13 668 5555</w:t>
      </w:r>
    </w:p>
    <w:p w14:paraId="19A0FD17" w14:textId="77777777" w:rsidR="003B3074" w:rsidRPr="00635388" w:rsidRDefault="003B3074" w:rsidP="003B3074">
      <w:pPr>
        <w:pStyle w:val="WDBodySmall"/>
      </w:pPr>
      <w:bookmarkStart w:id="9" w:name="release_docreg"/>
      <w:bookmarkEnd w:id="9"/>
    </w:p>
    <w:p w14:paraId="4B3FB231" w14:textId="038945BC" w:rsidR="000C7F81" w:rsidRDefault="000C7F81" w:rsidP="000C7F81">
      <w:pPr>
        <w:pStyle w:val="WDDocRef"/>
      </w:pPr>
      <w:r w:rsidRPr="00BA103B">
        <w:t>Doc Ref. 40754-WOD-XX-XX-RP-OA_S3_P01</w:t>
      </w:r>
    </w:p>
    <w:p w14:paraId="64ED5619" w14:textId="77777777" w:rsidR="000C7F81" w:rsidRPr="00AE2A2A" w:rsidRDefault="000C7F81" w:rsidP="0096582A">
      <w:pPr>
        <w:pStyle w:val="WDBodySmall"/>
      </w:pPr>
    </w:p>
    <w:p w14:paraId="767A4E17" w14:textId="77777777" w:rsidR="00461614" w:rsidRDefault="006243BF" w:rsidP="00461614">
      <w:pPr>
        <w:pStyle w:val="WDBodySmall"/>
      </w:pPr>
      <w:r w:rsidRPr="00635388">
        <w:br w:type="column"/>
      </w:r>
      <w:bookmarkStart w:id="10" w:name="release_draft_disclaimer"/>
      <w:bookmarkEnd w:id="10"/>
    </w:p>
    <w:p w14:paraId="4D12B54D" w14:textId="77777777" w:rsidR="00461614" w:rsidRPr="00C574BF" w:rsidRDefault="00461614" w:rsidP="00461614">
      <w:pPr>
        <w:pStyle w:val="WDReleaseHeadings"/>
        <w:spacing w:before="80"/>
      </w:pPr>
      <w:r w:rsidRPr="00C574BF">
        <w:t>Draft report disc</w:t>
      </w:r>
      <w:r>
        <w:t>l</w:t>
      </w:r>
      <w:r w:rsidRPr="00C574BF">
        <w:t>a</w:t>
      </w:r>
      <w:r>
        <w:t>i</w:t>
      </w:r>
      <w:r w:rsidRPr="00C574BF">
        <w:t>mer</w:t>
      </w:r>
    </w:p>
    <w:p w14:paraId="61C22902" w14:textId="77777777" w:rsidR="00461614" w:rsidRDefault="00461614" w:rsidP="00461614">
      <w:pPr>
        <w:pStyle w:val="WDBodySmall"/>
        <w:rPr>
          <w:color w:val="FF0000"/>
        </w:rPr>
      </w:pPr>
      <w:r w:rsidRPr="00C574BF">
        <w:rPr>
          <w:color w:val="FF0000"/>
        </w:rPr>
        <w:t xml:space="preserve">This report has been prepared in a working draft form and has not been finalised or formally reviewed. As such it should be taken as an indication only of the material and conclusions that will form the final report. Any calculations or findings presented here may be changed or altered and should not be taken to reflect </w:t>
      </w:r>
      <w:r>
        <w:rPr>
          <w:color w:val="FF0000"/>
        </w:rPr>
        <w:t xml:space="preserve">Wood’s </w:t>
      </w:r>
      <w:r w:rsidRPr="00C574BF">
        <w:rPr>
          <w:color w:val="FF0000"/>
        </w:rPr>
        <w:t>opinions or conclusions.</w:t>
      </w:r>
    </w:p>
    <w:p w14:paraId="56F9AD23" w14:textId="67BC1F74" w:rsidR="005F37CE" w:rsidRPr="00C574BF" w:rsidRDefault="005F37CE" w:rsidP="004D3164">
      <w:pPr>
        <w:pStyle w:val="WDDocRef"/>
      </w:pPr>
    </w:p>
    <w:p w14:paraId="00243FF7" w14:textId="77777777" w:rsidR="006243BF" w:rsidRPr="00635388" w:rsidRDefault="00594D0C" w:rsidP="00082B2C">
      <w:pPr>
        <w:pStyle w:val="WDReleaseHeadings"/>
        <w:spacing w:before="80"/>
        <w:rPr>
          <w:color w:val="B70068"/>
        </w:rPr>
      </w:pPr>
      <w:r w:rsidRPr="00635388">
        <w:t xml:space="preserve">Copyright and </w:t>
      </w:r>
      <w:r w:rsidR="006243BF" w:rsidRPr="00635388">
        <w:t>n</w:t>
      </w:r>
      <w:r w:rsidRPr="00635388">
        <w:t>on-</w:t>
      </w:r>
      <w:r w:rsidR="006243BF" w:rsidRPr="00635388">
        <w:t>d</w:t>
      </w:r>
      <w:r w:rsidRPr="00635388">
        <w:t xml:space="preserve">isclosure </w:t>
      </w:r>
      <w:r w:rsidR="006243BF" w:rsidRPr="00635388">
        <w:t>n</w:t>
      </w:r>
      <w:r w:rsidRPr="00635388">
        <w:t>otice</w:t>
      </w:r>
    </w:p>
    <w:p w14:paraId="09B6890D" w14:textId="77777777" w:rsidR="00594D0C" w:rsidRPr="00635388" w:rsidRDefault="00594D0C" w:rsidP="00960086">
      <w:pPr>
        <w:pStyle w:val="WDBodySmall"/>
      </w:pPr>
      <w:r w:rsidRPr="00635388">
        <w:t xml:space="preserve">The contents and layout of this report are subject to copyright owned by </w:t>
      </w:r>
      <w:r w:rsidR="001548A3" w:rsidRPr="00635388">
        <w:t>Wood</w:t>
      </w:r>
      <w:r w:rsidRPr="00635388">
        <w:t xml:space="preserve"> (©</w:t>
      </w:r>
      <w:r w:rsidR="004B7FDB" w:rsidRPr="00635388">
        <w:t xml:space="preserve"> </w:t>
      </w:r>
      <w:r w:rsidR="001548A3" w:rsidRPr="00635388">
        <w:t>Wood Environment &amp; Infrastructure Solutions UK Limited</w:t>
      </w:r>
      <w:r w:rsidR="00E67C68" w:rsidRPr="00635388">
        <w:t xml:space="preserve"> </w:t>
      </w:r>
      <w:r w:rsidR="00DB7666" w:rsidRPr="00635388">
        <w:fldChar w:fldCharType="begin"/>
      </w:r>
      <w:r w:rsidR="00E67C68" w:rsidRPr="00635388">
        <w:instrText xml:space="preserve"> CREATEDATE  \@ "yyyy"  \* MERGEFORMAT </w:instrText>
      </w:r>
      <w:r w:rsidR="00DB7666" w:rsidRPr="00635388">
        <w:fldChar w:fldCharType="separate"/>
      </w:r>
      <w:r w:rsidR="00825836" w:rsidRPr="00635388">
        <w:rPr>
          <w:noProof/>
        </w:rPr>
        <w:t>2019</w:t>
      </w:r>
      <w:r w:rsidR="00DB7666" w:rsidRPr="00635388">
        <w:fldChar w:fldCharType="end"/>
      </w:r>
      <w:r w:rsidRPr="00635388">
        <w:t xml:space="preserve">) save to the extent that copyright has been legally assigned by us to another party or is used by </w:t>
      </w:r>
      <w:r w:rsidR="001548A3" w:rsidRPr="00635388">
        <w:t>Wood</w:t>
      </w:r>
      <w:r w:rsidR="00656D0B" w:rsidRPr="00635388">
        <w:t xml:space="preserve"> under licence. </w:t>
      </w:r>
      <w:r w:rsidRPr="00635388">
        <w:t>To the extent that we own the copyright in this report, it may not be copied or used without our prior written agreement for any purpose other than the purpose indicated in this report.</w:t>
      </w:r>
      <w:r w:rsidR="006243BF" w:rsidRPr="00635388">
        <w:t xml:space="preserve"> </w:t>
      </w:r>
      <w:r w:rsidRPr="00635388">
        <w:t xml:space="preserve">The methodology (if any) contained in this report is provided to you in confidence and must not be disclosed or copied to third parties without the prior written agreement of </w:t>
      </w:r>
      <w:r w:rsidR="001548A3" w:rsidRPr="00635388">
        <w:t>Wood</w:t>
      </w:r>
      <w:r w:rsidR="00656D0B" w:rsidRPr="00635388">
        <w:t xml:space="preserve">. </w:t>
      </w:r>
      <w:r w:rsidRPr="00635388">
        <w:t>Disclosure of that information may constitute an actionable breach of confidence or may otherwise preju</w:t>
      </w:r>
      <w:r w:rsidR="00656D0B" w:rsidRPr="00635388">
        <w:t xml:space="preserve">dice our commercial interests. </w:t>
      </w:r>
      <w:r w:rsidRPr="00635388">
        <w:t>Any third party who obtains access to this report by any means will, in any event, be subject to the Third Party Disclaimer set out below.</w:t>
      </w:r>
    </w:p>
    <w:p w14:paraId="3AB4728B" w14:textId="77777777" w:rsidR="001A602D" w:rsidRPr="00635388" w:rsidRDefault="001A602D" w:rsidP="001A602D">
      <w:pPr>
        <w:pStyle w:val="WDReleaseHeadings"/>
      </w:pPr>
      <w:r w:rsidRPr="00635388">
        <w:t>Third</w:t>
      </w:r>
      <w:r w:rsidR="00082B2C" w:rsidRPr="00635388">
        <w:t xml:space="preserve"> p</w:t>
      </w:r>
      <w:r w:rsidRPr="00635388">
        <w:t xml:space="preserve">arty disclaimer </w:t>
      </w:r>
    </w:p>
    <w:p w14:paraId="379B16E7" w14:textId="77777777" w:rsidR="001A602D" w:rsidRPr="00635388" w:rsidRDefault="001A602D" w:rsidP="001A602D">
      <w:pPr>
        <w:pStyle w:val="WDBodySmall"/>
      </w:pPr>
      <w:r w:rsidRPr="00635388">
        <w:t>Any disclosure of this report to a third party is subject t</w:t>
      </w:r>
      <w:r w:rsidR="00656D0B" w:rsidRPr="00635388">
        <w:t xml:space="preserve">o this disclaimer. </w:t>
      </w:r>
      <w:r w:rsidRPr="00635388">
        <w:t xml:space="preserve">The report was prepared by </w:t>
      </w:r>
      <w:r w:rsidR="001548A3" w:rsidRPr="00635388">
        <w:t xml:space="preserve">Wood </w:t>
      </w:r>
      <w:r w:rsidRPr="00635388">
        <w:t>at the instruction of, and for use by, our client na</w:t>
      </w:r>
      <w:r w:rsidR="00656D0B" w:rsidRPr="00635388">
        <w:t>med on the front of the report.</w:t>
      </w:r>
      <w:r w:rsidRPr="00635388">
        <w:t xml:space="preserve"> It does not in any way constitute advice to any third party who is a</w:t>
      </w:r>
      <w:r w:rsidR="00656D0B" w:rsidRPr="00635388">
        <w:t xml:space="preserve">ble to access it by any means. </w:t>
      </w:r>
      <w:r w:rsidR="001548A3" w:rsidRPr="00635388">
        <w:t>Wood</w:t>
      </w:r>
      <w:r w:rsidRPr="00635388">
        <w:t xml:space="preserve"> excludes to the fullest extent lawfully permitted all liability whatsoever for any loss or damage howsoever arising from reliance </w:t>
      </w:r>
      <w:r w:rsidR="00656D0B" w:rsidRPr="00635388">
        <w:t>on the contents of this report.</w:t>
      </w:r>
      <w:r w:rsidRPr="00635388">
        <w:t xml:space="preserve"> We do not however exclude our liability (if any) for personal injury or death resulting from our negligence, for fraud or any other matter in relation to which we cannot legally exclude liability.  </w:t>
      </w:r>
    </w:p>
    <w:p w14:paraId="53CA735C" w14:textId="77777777" w:rsidR="001A602D" w:rsidRPr="00635388" w:rsidRDefault="001A602D" w:rsidP="001A602D">
      <w:pPr>
        <w:pStyle w:val="WDReleaseHeadings"/>
      </w:pPr>
      <w:r w:rsidRPr="00635388">
        <w:t>Management systems</w:t>
      </w:r>
    </w:p>
    <w:p w14:paraId="18B8694A" w14:textId="50617A77" w:rsidR="001A602D" w:rsidRPr="00635388" w:rsidRDefault="00792C7B" w:rsidP="004B7FDB">
      <w:pPr>
        <w:pStyle w:val="WDBodySmall"/>
      </w:pPr>
      <w:r w:rsidRPr="00635388">
        <w:t>This document has been produced by Wood Environment &amp; Infrastructure Solutions UK Limited in full compliance with our management systems, which have been certified to ISO 9001, ISO 14001 and OHSAS 18001 by LRQA.</w:t>
      </w:r>
    </w:p>
    <w:p w14:paraId="75ABFFB1" w14:textId="77777777" w:rsidR="001A602D" w:rsidRPr="00635388" w:rsidRDefault="001A602D" w:rsidP="001A602D">
      <w:pPr>
        <w:pStyle w:val="WDReleaseHeadings"/>
      </w:pPr>
      <w:r w:rsidRPr="00635388">
        <w:t xml:space="preserve">Document revisions  </w:t>
      </w:r>
    </w:p>
    <w:tbl>
      <w:tblPr>
        <w:tblStyle w:val="WoodEISUKReportTable"/>
        <w:tblW w:w="0" w:type="auto"/>
        <w:tblLook w:val="04A0" w:firstRow="1" w:lastRow="0" w:firstColumn="1" w:lastColumn="0" w:noHBand="0" w:noVBand="1"/>
      </w:tblPr>
      <w:tblGrid>
        <w:gridCol w:w="696"/>
        <w:gridCol w:w="2139"/>
        <w:gridCol w:w="1630"/>
      </w:tblGrid>
      <w:tr w:rsidR="001A602D" w:rsidRPr="00635388" w14:paraId="3D782366" w14:textId="77777777" w:rsidTr="005C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il"/>
            </w:tcBorders>
          </w:tcPr>
          <w:p w14:paraId="627D11E6" w14:textId="77777777" w:rsidR="001A602D" w:rsidRPr="00635388" w:rsidRDefault="001A602D" w:rsidP="008A173B">
            <w:pPr>
              <w:pStyle w:val="WDTable"/>
            </w:pPr>
            <w:r w:rsidRPr="00635388">
              <w:t>No.</w:t>
            </w:r>
          </w:p>
        </w:tc>
        <w:tc>
          <w:tcPr>
            <w:tcW w:w="2139" w:type="dxa"/>
            <w:tcBorders>
              <w:top w:val="nil"/>
            </w:tcBorders>
          </w:tcPr>
          <w:p w14:paraId="73249445"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Details</w:t>
            </w:r>
          </w:p>
        </w:tc>
        <w:tc>
          <w:tcPr>
            <w:tcW w:w="1630" w:type="dxa"/>
            <w:tcBorders>
              <w:top w:val="nil"/>
            </w:tcBorders>
          </w:tcPr>
          <w:p w14:paraId="5D591499"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Date</w:t>
            </w:r>
          </w:p>
        </w:tc>
      </w:tr>
      <w:tr w:rsidR="001A602D" w:rsidRPr="00635388" w14:paraId="287B4BF3" w14:textId="77777777" w:rsidTr="005C3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4F2D686" w14:textId="77777777" w:rsidR="001A602D" w:rsidRPr="00635388" w:rsidRDefault="00825836" w:rsidP="008A173B">
            <w:pPr>
              <w:pStyle w:val="WDTable"/>
            </w:pPr>
            <w:r w:rsidRPr="00635388">
              <w:t>1</w:t>
            </w:r>
          </w:p>
        </w:tc>
        <w:tc>
          <w:tcPr>
            <w:tcW w:w="2139" w:type="dxa"/>
          </w:tcPr>
          <w:p w14:paraId="331C9DAF" w14:textId="02DD097B" w:rsidR="001A602D" w:rsidRPr="00635388" w:rsidRDefault="00303DE4" w:rsidP="008A173B">
            <w:pPr>
              <w:pStyle w:val="WDTable"/>
              <w:cnfStyle w:val="000000100000" w:firstRow="0" w:lastRow="0" w:firstColumn="0" w:lastColumn="0" w:oddVBand="0" w:evenVBand="0" w:oddHBand="1" w:evenHBand="0" w:firstRowFirstColumn="0" w:firstRowLastColumn="0" w:lastRowFirstColumn="0" w:lastRowLastColumn="0"/>
            </w:pPr>
            <w:r>
              <w:t>Draft</w:t>
            </w:r>
            <w:r w:rsidR="00327B96">
              <w:t xml:space="preserve"> Report </w:t>
            </w:r>
          </w:p>
        </w:tc>
        <w:tc>
          <w:tcPr>
            <w:tcW w:w="1630" w:type="dxa"/>
          </w:tcPr>
          <w:p w14:paraId="6BDA1598" w14:textId="2D129AE9" w:rsidR="001A602D" w:rsidRPr="00635388" w:rsidRDefault="005C314C" w:rsidP="000921BD">
            <w:pPr>
              <w:pStyle w:val="WDTable"/>
              <w:cnfStyle w:val="000000100000" w:firstRow="0" w:lastRow="0" w:firstColumn="0" w:lastColumn="0" w:oddVBand="0" w:evenVBand="0" w:oddHBand="1" w:evenHBand="0" w:firstRowFirstColumn="0" w:firstRowLastColumn="0" w:lastRowFirstColumn="0" w:lastRowLastColumn="0"/>
            </w:pPr>
            <w:r>
              <w:t>5</w:t>
            </w:r>
            <w:r w:rsidRPr="005C314C">
              <w:rPr>
                <w:vertAlign w:val="superscript"/>
              </w:rPr>
              <w:t>th</w:t>
            </w:r>
            <w:r>
              <w:t xml:space="preserve"> </w:t>
            </w:r>
            <w:r w:rsidR="003B3074">
              <w:t>Februa</w:t>
            </w:r>
            <w:r w:rsidR="00303DE4">
              <w:t>r</w:t>
            </w:r>
            <w:r w:rsidR="003B3074">
              <w:t>y</w:t>
            </w:r>
            <w:r w:rsidR="00B839F1">
              <w:t xml:space="preserve"> </w:t>
            </w:r>
            <w:r w:rsidR="00825836" w:rsidRPr="00635388">
              <w:t>20</w:t>
            </w:r>
            <w:r w:rsidR="003B3074">
              <w:t>21</w:t>
            </w:r>
          </w:p>
        </w:tc>
      </w:tr>
      <w:tr w:rsidR="00303DE4" w:rsidRPr="00635388" w14:paraId="4691B218" w14:textId="77777777" w:rsidTr="005C31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2437CFA" w14:textId="77777777" w:rsidR="00303DE4" w:rsidRPr="00635388" w:rsidRDefault="00303DE4" w:rsidP="008A173B">
            <w:pPr>
              <w:pStyle w:val="WDTable"/>
            </w:pPr>
          </w:p>
        </w:tc>
        <w:tc>
          <w:tcPr>
            <w:tcW w:w="2139" w:type="dxa"/>
          </w:tcPr>
          <w:p w14:paraId="121E3AB8" w14:textId="77777777" w:rsidR="00303DE4" w:rsidRDefault="00303DE4" w:rsidP="008A173B">
            <w:pPr>
              <w:pStyle w:val="WDTable"/>
              <w:cnfStyle w:val="000000010000" w:firstRow="0" w:lastRow="0" w:firstColumn="0" w:lastColumn="0" w:oddVBand="0" w:evenVBand="0" w:oddHBand="0" w:evenHBand="1" w:firstRowFirstColumn="0" w:firstRowLastColumn="0" w:lastRowFirstColumn="0" w:lastRowLastColumn="0"/>
            </w:pPr>
          </w:p>
        </w:tc>
        <w:tc>
          <w:tcPr>
            <w:tcW w:w="1630" w:type="dxa"/>
          </w:tcPr>
          <w:p w14:paraId="2CBF6BA7" w14:textId="77777777" w:rsidR="00303DE4" w:rsidRDefault="00303DE4" w:rsidP="000921BD">
            <w:pPr>
              <w:pStyle w:val="WDTable"/>
              <w:cnfStyle w:val="000000010000" w:firstRow="0" w:lastRow="0" w:firstColumn="0" w:lastColumn="0" w:oddVBand="0" w:evenVBand="0" w:oddHBand="0" w:evenHBand="1" w:firstRowFirstColumn="0" w:firstRowLastColumn="0" w:lastRowFirstColumn="0" w:lastRowLastColumn="0"/>
            </w:pPr>
          </w:p>
        </w:tc>
      </w:tr>
    </w:tbl>
    <w:p w14:paraId="4CAAA655" w14:textId="77777777" w:rsidR="00C82233" w:rsidRPr="00635388" w:rsidRDefault="00C82233" w:rsidP="00030689">
      <w:pPr>
        <w:pStyle w:val="WDBody"/>
      </w:pPr>
    </w:p>
    <w:p w14:paraId="49BBF1AE" w14:textId="77777777" w:rsidR="001A602D" w:rsidRPr="00635388" w:rsidRDefault="001A602D" w:rsidP="00030689">
      <w:pPr>
        <w:pStyle w:val="WDBody"/>
      </w:pPr>
    </w:p>
    <w:p w14:paraId="4A338224" w14:textId="77777777" w:rsidR="00C11E12" w:rsidRPr="00635388" w:rsidRDefault="00C11E12" w:rsidP="00030689">
      <w:pPr>
        <w:pStyle w:val="WDBody"/>
        <w:sectPr w:rsidR="00C11E12" w:rsidRPr="00635388" w:rsidSect="00822017">
          <w:headerReference w:type="default" r:id="rId15"/>
          <w:footerReference w:type="default" r:id="rId16"/>
          <w:pgSz w:w="11906" w:h="16838" w:code="9"/>
          <w:pgMar w:top="1701" w:right="1134" w:bottom="1134" w:left="1134" w:header="737" w:footer="397" w:gutter="0"/>
          <w:cols w:num="2" w:space="708"/>
          <w:docGrid w:linePitch="360"/>
        </w:sectPr>
      </w:pPr>
    </w:p>
    <w:p w14:paraId="3514886E" w14:textId="708154C9" w:rsidR="001A602D" w:rsidRPr="00635388" w:rsidRDefault="001A602D" w:rsidP="00EF66D2">
      <w:pPr>
        <w:pStyle w:val="Heading1NoNumber"/>
        <w:spacing w:after="240"/>
      </w:pPr>
      <w:bookmarkStart w:id="11" w:name="_Hlk68797197"/>
      <w:bookmarkStart w:id="12" w:name="_Toc404247180"/>
      <w:r w:rsidRPr="00635388">
        <w:lastRenderedPageBreak/>
        <w:t>Contents</w:t>
      </w:r>
    </w:p>
    <w:p w14:paraId="6FC2A645" w14:textId="77777777" w:rsidR="00113F71" w:rsidRPr="00635388" w:rsidRDefault="00113F71" w:rsidP="008B0D5C">
      <w:pPr>
        <w:pStyle w:val="WDBodySmall"/>
        <w:pBdr>
          <w:bottom w:val="single" w:sz="2" w:space="1" w:color="36353F" w:themeColor="text1"/>
        </w:pBdr>
      </w:pPr>
    </w:p>
    <w:p w14:paraId="758F69FF" w14:textId="274228F3" w:rsidR="00FF0E64" w:rsidRDefault="00DB7666">
      <w:pPr>
        <w:pStyle w:val="TOC1"/>
        <w:rPr>
          <w:rFonts w:asciiTheme="minorHAnsi" w:eastAsiaTheme="minorEastAsia" w:hAnsiTheme="minorHAnsi"/>
          <w:b w:val="0"/>
          <w:color w:val="auto"/>
          <w:sz w:val="22"/>
          <w:lang w:eastAsia="en-GB"/>
        </w:rPr>
      </w:pPr>
      <w:r w:rsidRPr="00635388">
        <w:rPr>
          <w:color w:val="884C91" w:themeColor="text2"/>
        </w:rPr>
        <w:fldChar w:fldCharType="begin"/>
      </w:r>
      <w:r w:rsidR="001A602D" w:rsidRPr="00635388">
        <w:instrText xml:space="preserve"> TOC \o "2-3" \h \z \t "Heading 1,1" </w:instrText>
      </w:r>
      <w:r w:rsidRPr="00635388">
        <w:rPr>
          <w:color w:val="884C91" w:themeColor="text2"/>
        </w:rPr>
        <w:fldChar w:fldCharType="separate"/>
      </w:r>
      <w:hyperlink w:anchor="_Toc69458009" w:history="1">
        <w:r w:rsidR="00FF0E64" w:rsidRPr="00DC69A0">
          <w:rPr>
            <w:rStyle w:val="Hyperlink"/>
          </w:rPr>
          <w:t>1.</w:t>
        </w:r>
        <w:r w:rsidR="00FF0E64">
          <w:rPr>
            <w:rFonts w:asciiTheme="minorHAnsi" w:eastAsiaTheme="minorEastAsia" w:hAnsiTheme="minorHAnsi"/>
            <w:b w:val="0"/>
            <w:color w:val="auto"/>
            <w:sz w:val="22"/>
            <w:lang w:eastAsia="en-GB"/>
          </w:rPr>
          <w:tab/>
        </w:r>
        <w:r w:rsidR="00FF0E64" w:rsidRPr="00DC69A0">
          <w:rPr>
            <w:rStyle w:val="Hyperlink"/>
          </w:rPr>
          <w:t>Introduction</w:t>
        </w:r>
        <w:r w:rsidR="00FF0E64">
          <w:rPr>
            <w:webHidden/>
          </w:rPr>
          <w:tab/>
        </w:r>
        <w:r w:rsidR="00FF0E64">
          <w:rPr>
            <w:webHidden/>
          </w:rPr>
          <w:fldChar w:fldCharType="begin"/>
        </w:r>
        <w:r w:rsidR="00FF0E64">
          <w:rPr>
            <w:webHidden/>
          </w:rPr>
          <w:instrText xml:space="preserve"> PAGEREF _Toc69458009 \h </w:instrText>
        </w:r>
        <w:r w:rsidR="00FF0E64">
          <w:rPr>
            <w:webHidden/>
          </w:rPr>
        </w:r>
        <w:r w:rsidR="00FF0E64">
          <w:rPr>
            <w:webHidden/>
          </w:rPr>
          <w:fldChar w:fldCharType="separate"/>
        </w:r>
        <w:r w:rsidR="00FF0E64">
          <w:rPr>
            <w:webHidden/>
          </w:rPr>
          <w:t>4</w:t>
        </w:r>
        <w:r w:rsidR="00FF0E64">
          <w:rPr>
            <w:webHidden/>
          </w:rPr>
          <w:fldChar w:fldCharType="end"/>
        </w:r>
      </w:hyperlink>
    </w:p>
    <w:p w14:paraId="19E25B3E" w14:textId="2280D399" w:rsidR="00FF0E64" w:rsidRDefault="00FF0E64">
      <w:pPr>
        <w:pStyle w:val="TOC2"/>
        <w:rPr>
          <w:rFonts w:asciiTheme="minorHAnsi" w:eastAsiaTheme="minorEastAsia" w:hAnsiTheme="minorHAnsi"/>
          <w:noProof/>
          <w:color w:val="auto"/>
          <w:sz w:val="22"/>
          <w:lang w:eastAsia="en-GB"/>
        </w:rPr>
      </w:pPr>
      <w:hyperlink w:anchor="_Toc69458010" w:history="1">
        <w:r w:rsidRPr="00DC69A0">
          <w:rPr>
            <w:rStyle w:val="Hyperlink"/>
            <w:noProof/>
          </w:rPr>
          <w:t>1.1</w:t>
        </w:r>
        <w:r>
          <w:rPr>
            <w:rFonts w:asciiTheme="minorHAnsi" w:eastAsiaTheme="minorEastAsia" w:hAnsiTheme="minorHAnsi"/>
            <w:noProof/>
            <w:color w:val="auto"/>
            <w:sz w:val="22"/>
            <w:lang w:eastAsia="en-GB"/>
          </w:rPr>
          <w:tab/>
        </w:r>
        <w:r w:rsidRPr="00DC69A0">
          <w:rPr>
            <w:rStyle w:val="Hyperlink"/>
            <w:noProof/>
          </w:rPr>
          <w:t>Preamble</w:t>
        </w:r>
        <w:r>
          <w:rPr>
            <w:noProof/>
            <w:webHidden/>
          </w:rPr>
          <w:tab/>
        </w:r>
        <w:r>
          <w:rPr>
            <w:noProof/>
            <w:webHidden/>
          </w:rPr>
          <w:fldChar w:fldCharType="begin"/>
        </w:r>
        <w:r>
          <w:rPr>
            <w:noProof/>
            <w:webHidden/>
          </w:rPr>
          <w:instrText xml:space="preserve"> PAGEREF _Toc69458010 \h </w:instrText>
        </w:r>
        <w:r>
          <w:rPr>
            <w:noProof/>
            <w:webHidden/>
          </w:rPr>
        </w:r>
        <w:r>
          <w:rPr>
            <w:noProof/>
            <w:webHidden/>
          </w:rPr>
          <w:fldChar w:fldCharType="separate"/>
        </w:r>
        <w:r>
          <w:rPr>
            <w:noProof/>
            <w:webHidden/>
          </w:rPr>
          <w:t>4</w:t>
        </w:r>
        <w:r>
          <w:rPr>
            <w:noProof/>
            <w:webHidden/>
          </w:rPr>
          <w:fldChar w:fldCharType="end"/>
        </w:r>
      </w:hyperlink>
    </w:p>
    <w:p w14:paraId="1BD319E4" w14:textId="37A1AE10" w:rsidR="00FF0E64" w:rsidRDefault="00FF0E64">
      <w:pPr>
        <w:pStyle w:val="TOC2"/>
        <w:rPr>
          <w:rFonts w:asciiTheme="minorHAnsi" w:eastAsiaTheme="minorEastAsia" w:hAnsiTheme="minorHAnsi"/>
          <w:noProof/>
          <w:color w:val="auto"/>
          <w:sz w:val="22"/>
          <w:lang w:eastAsia="en-GB"/>
        </w:rPr>
      </w:pPr>
      <w:hyperlink w:anchor="_Toc69458011" w:history="1">
        <w:r w:rsidRPr="00DC69A0">
          <w:rPr>
            <w:rStyle w:val="Hyperlink"/>
            <w:noProof/>
          </w:rPr>
          <w:t>1.2</w:t>
        </w:r>
        <w:r>
          <w:rPr>
            <w:rFonts w:asciiTheme="minorHAnsi" w:eastAsiaTheme="minorEastAsia" w:hAnsiTheme="minorHAnsi"/>
            <w:noProof/>
            <w:color w:val="auto"/>
            <w:sz w:val="22"/>
            <w:lang w:eastAsia="en-GB"/>
          </w:rPr>
          <w:tab/>
        </w:r>
        <w:r w:rsidRPr="00DC69A0">
          <w:rPr>
            <w:rStyle w:val="Hyperlink"/>
            <w:noProof/>
          </w:rPr>
          <w:t>Projects Background</w:t>
        </w:r>
        <w:r>
          <w:rPr>
            <w:noProof/>
            <w:webHidden/>
          </w:rPr>
          <w:tab/>
        </w:r>
        <w:r>
          <w:rPr>
            <w:noProof/>
            <w:webHidden/>
          </w:rPr>
          <w:fldChar w:fldCharType="begin"/>
        </w:r>
        <w:r>
          <w:rPr>
            <w:noProof/>
            <w:webHidden/>
          </w:rPr>
          <w:instrText xml:space="preserve"> PAGEREF _Toc69458011 \h </w:instrText>
        </w:r>
        <w:r>
          <w:rPr>
            <w:noProof/>
            <w:webHidden/>
          </w:rPr>
        </w:r>
        <w:r>
          <w:rPr>
            <w:noProof/>
            <w:webHidden/>
          </w:rPr>
          <w:fldChar w:fldCharType="separate"/>
        </w:r>
        <w:r>
          <w:rPr>
            <w:noProof/>
            <w:webHidden/>
          </w:rPr>
          <w:t>4</w:t>
        </w:r>
        <w:r>
          <w:rPr>
            <w:noProof/>
            <w:webHidden/>
          </w:rPr>
          <w:fldChar w:fldCharType="end"/>
        </w:r>
      </w:hyperlink>
    </w:p>
    <w:p w14:paraId="0C94F46E" w14:textId="700CFE75" w:rsidR="00FF0E64" w:rsidRDefault="00FF0E64">
      <w:pPr>
        <w:pStyle w:val="TOC1"/>
        <w:rPr>
          <w:rFonts w:asciiTheme="minorHAnsi" w:eastAsiaTheme="minorEastAsia" w:hAnsiTheme="minorHAnsi"/>
          <w:b w:val="0"/>
          <w:color w:val="auto"/>
          <w:sz w:val="22"/>
          <w:lang w:eastAsia="en-GB"/>
        </w:rPr>
      </w:pPr>
      <w:hyperlink w:anchor="_Toc69458012" w:history="1">
        <w:r w:rsidRPr="00DC69A0">
          <w:rPr>
            <w:rStyle w:val="Hyperlink"/>
            <w:rFonts w:eastAsia="Times New Roman"/>
            <w:lang w:val="en-US"/>
          </w:rPr>
          <w:t>2.</w:t>
        </w:r>
        <w:r>
          <w:rPr>
            <w:rFonts w:asciiTheme="minorHAnsi" w:eastAsiaTheme="minorEastAsia" w:hAnsiTheme="minorHAnsi"/>
            <w:b w:val="0"/>
            <w:color w:val="auto"/>
            <w:sz w:val="22"/>
            <w:lang w:eastAsia="en-GB"/>
          </w:rPr>
          <w:tab/>
        </w:r>
        <w:r w:rsidRPr="00DC69A0">
          <w:rPr>
            <w:rStyle w:val="Hyperlink"/>
            <w:rFonts w:eastAsia="Times New Roman"/>
            <w:lang w:val="en-US"/>
          </w:rPr>
          <w:t>Reference Standards</w:t>
        </w:r>
        <w:r>
          <w:rPr>
            <w:webHidden/>
          </w:rPr>
          <w:tab/>
        </w:r>
        <w:r>
          <w:rPr>
            <w:webHidden/>
          </w:rPr>
          <w:fldChar w:fldCharType="begin"/>
        </w:r>
        <w:r>
          <w:rPr>
            <w:webHidden/>
          </w:rPr>
          <w:instrText xml:space="preserve"> PAGEREF _Toc69458012 \h </w:instrText>
        </w:r>
        <w:r>
          <w:rPr>
            <w:webHidden/>
          </w:rPr>
        </w:r>
        <w:r>
          <w:rPr>
            <w:webHidden/>
          </w:rPr>
          <w:fldChar w:fldCharType="separate"/>
        </w:r>
        <w:r>
          <w:rPr>
            <w:webHidden/>
          </w:rPr>
          <w:t>5</w:t>
        </w:r>
        <w:r>
          <w:rPr>
            <w:webHidden/>
          </w:rPr>
          <w:fldChar w:fldCharType="end"/>
        </w:r>
      </w:hyperlink>
    </w:p>
    <w:p w14:paraId="4971E711" w14:textId="786D9028" w:rsidR="00FF0E64" w:rsidRDefault="00FF0E64">
      <w:pPr>
        <w:pStyle w:val="TOC2"/>
        <w:rPr>
          <w:rFonts w:asciiTheme="minorHAnsi" w:eastAsiaTheme="minorEastAsia" w:hAnsiTheme="minorHAnsi"/>
          <w:noProof/>
          <w:color w:val="auto"/>
          <w:sz w:val="22"/>
          <w:lang w:eastAsia="en-GB"/>
        </w:rPr>
      </w:pPr>
      <w:hyperlink w:anchor="_Toc69458013" w:history="1">
        <w:r w:rsidRPr="00DC69A0">
          <w:rPr>
            <w:rStyle w:val="Hyperlink"/>
            <w:noProof/>
            <w:lang w:val="en-US"/>
          </w:rPr>
          <w:t>2.1</w:t>
        </w:r>
        <w:r>
          <w:rPr>
            <w:rFonts w:asciiTheme="minorHAnsi" w:eastAsiaTheme="minorEastAsia" w:hAnsiTheme="minorHAnsi"/>
            <w:noProof/>
            <w:color w:val="auto"/>
            <w:sz w:val="22"/>
            <w:lang w:eastAsia="en-GB"/>
          </w:rPr>
          <w:tab/>
        </w:r>
        <w:r w:rsidRPr="00DC69A0">
          <w:rPr>
            <w:rStyle w:val="Hyperlink"/>
            <w:noProof/>
            <w:lang w:val="en-US"/>
          </w:rPr>
          <w:t>Best Practice and Guidelines</w:t>
        </w:r>
        <w:r>
          <w:rPr>
            <w:noProof/>
            <w:webHidden/>
          </w:rPr>
          <w:tab/>
        </w:r>
        <w:r>
          <w:rPr>
            <w:noProof/>
            <w:webHidden/>
          </w:rPr>
          <w:fldChar w:fldCharType="begin"/>
        </w:r>
        <w:r>
          <w:rPr>
            <w:noProof/>
            <w:webHidden/>
          </w:rPr>
          <w:instrText xml:space="preserve"> PAGEREF _Toc69458013 \h </w:instrText>
        </w:r>
        <w:r>
          <w:rPr>
            <w:noProof/>
            <w:webHidden/>
          </w:rPr>
        </w:r>
        <w:r>
          <w:rPr>
            <w:noProof/>
            <w:webHidden/>
          </w:rPr>
          <w:fldChar w:fldCharType="separate"/>
        </w:r>
        <w:r>
          <w:rPr>
            <w:noProof/>
            <w:webHidden/>
          </w:rPr>
          <w:t>5</w:t>
        </w:r>
        <w:r>
          <w:rPr>
            <w:noProof/>
            <w:webHidden/>
          </w:rPr>
          <w:fldChar w:fldCharType="end"/>
        </w:r>
      </w:hyperlink>
    </w:p>
    <w:p w14:paraId="31BA5F7A" w14:textId="3AE2DB27" w:rsidR="00FF0E64" w:rsidRDefault="00FF0E64">
      <w:pPr>
        <w:pStyle w:val="TOC2"/>
        <w:rPr>
          <w:rFonts w:asciiTheme="minorHAnsi" w:eastAsiaTheme="minorEastAsia" w:hAnsiTheme="minorHAnsi"/>
          <w:noProof/>
          <w:color w:val="auto"/>
          <w:sz w:val="22"/>
          <w:lang w:eastAsia="en-GB"/>
        </w:rPr>
      </w:pPr>
      <w:hyperlink w:anchor="_Toc69458014" w:history="1">
        <w:r w:rsidRPr="00DC69A0">
          <w:rPr>
            <w:rStyle w:val="Hyperlink"/>
            <w:noProof/>
          </w:rPr>
          <w:t>2.2</w:t>
        </w:r>
        <w:r>
          <w:rPr>
            <w:rFonts w:asciiTheme="minorHAnsi" w:eastAsiaTheme="minorEastAsia" w:hAnsiTheme="minorHAnsi"/>
            <w:noProof/>
            <w:color w:val="auto"/>
            <w:sz w:val="22"/>
            <w:lang w:eastAsia="en-GB"/>
          </w:rPr>
          <w:tab/>
        </w:r>
        <w:r w:rsidRPr="00DC69A0">
          <w:rPr>
            <w:rStyle w:val="Hyperlink"/>
            <w:noProof/>
          </w:rPr>
          <w:t>Consents and approvals</w:t>
        </w:r>
        <w:r>
          <w:rPr>
            <w:noProof/>
            <w:webHidden/>
          </w:rPr>
          <w:tab/>
        </w:r>
        <w:r>
          <w:rPr>
            <w:noProof/>
            <w:webHidden/>
          </w:rPr>
          <w:fldChar w:fldCharType="begin"/>
        </w:r>
        <w:r>
          <w:rPr>
            <w:noProof/>
            <w:webHidden/>
          </w:rPr>
          <w:instrText xml:space="preserve"> PAGEREF _Toc69458014 \h </w:instrText>
        </w:r>
        <w:r>
          <w:rPr>
            <w:noProof/>
            <w:webHidden/>
          </w:rPr>
        </w:r>
        <w:r>
          <w:rPr>
            <w:noProof/>
            <w:webHidden/>
          </w:rPr>
          <w:fldChar w:fldCharType="separate"/>
        </w:r>
        <w:r>
          <w:rPr>
            <w:noProof/>
            <w:webHidden/>
          </w:rPr>
          <w:t>5</w:t>
        </w:r>
        <w:r>
          <w:rPr>
            <w:noProof/>
            <w:webHidden/>
          </w:rPr>
          <w:fldChar w:fldCharType="end"/>
        </w:r>
      </w:hyperlink>
    </w:p>
    <w:p w14:paraId="55ED9F2A" w14:textId="17CF0F6C" w:rsidR="00FF0E64" w:rsidRDefault="00FF0E64">
      <w:pPr>
        <w:pStyle w:val="TOC1"/>
        <w:rPr>
          <w:rFonts w:asciiTheme="minorHAnsi" w:eastAsiaTheme="minorEastAsia" w:hAnsiTheme="minorHAnsi"/>
          <w:b w:val="0"/>
          <w:color w:val="auto"/>
          <w:sz w:val="22"/>
          <w:lang w:eastAsia="en-GB"/>
        </w:rPr>
      </w:pPr>
      <w:hyperlink w:anchor="_Toc69458015" w:history="1">
        <w:r w:rsidRPr="00DC69A0">
          <w:rPr>
            <w:rStyle w:val="Hyperlink"/>
            <w:lang w:val="en-US"/>
          </w:rPr>
          <w:t>3.</w:t>
        </w:r>
        <w:r>
          <w:rPr>
            <w:rFonts w:asciiTheme="minorHAnsi" w:eastAsiaTheme="minorEastAsia" w:hAnsiTheme="minorHAnsi"/>
            <w:b w:val="0"/>
            <w:color w:val="auto"/>
            <w:sz w:val="22"/>
            <w:lang w:eastAsia="en-GB"/>
          </w:rPr>
          <w:tab/>
        </w:r>
        <w:r w:rsidRPr="00DC69A0">
          <w:rPr>
            <w:rStyle w:val="Hyperlink"/>
            <w:lang w:val="en-US"/>
          </w:rPr>
          <w:t>Monitoring Equipment</w:t>
        </w:r>
        <w:r>
          <w:rPr>
            <w:webHidden/>
          </w:rPr>
          <w:tab/>
        </w:r>
        <w:r>
          <w:rPr>
            <w:webHidden/>
          </w:rPr>
          <w:fldChar w:fldCharType="begin"/>
        </w:r>
        <w:r>
          <w:rPr>
            <w:webHidden/>
          </w:rPr>
          <w:instrText xml:space="preserve"> PAGEREF _Toc69458015 \h </w:instrText>
        </w:r>
        <w:r>
          <w:rPr>
            <w:webHidden/>
          </w:rPr>
        </w:r>
        <w:r>
          <w:rPr>
            <w:webHidden/>
          </w:rPr>
          <w:fldChar w:fldCharType="separate"/>
        </w:r>
        <w:r>
          <w:rPr>
            <w:webHidden/>
          </w:rPr>
          <w:t>6</w:t>
        </w:r>
        <w:r>
          <w:rPr>
            <w:webHidden/>
          </w:rPr>
          <w:fldChar w:fldCharType="end"/>
        </w:r>
      </w:hyperlink>
    </w:p>
    <w:p w14:paraId="17FFF1EA" w14:textId="4C2535EF" w:rsidR="00FF0E64" w:rsidRDefault="00FF0E64">
      <w:pPr>
        <w:pStyle w:val="TOC1"/>
        <w:rPr>
          <w:rFonts w:asciiTheme="minorHAnsi" w:eastAsiaTheme="minorEastAsia" w:hAnsiTheme="minorHAnsi"/>
          <w:b w:val="0"/>
          <w:color w:val="auto"/>
          <w:sz w:val="22"/>
          <w:lang w:eastAsia="en-GB"/>
        </w:rPr>
      </w:pPr>
      <w:hyperlink w:anchor="_Toc69458016" w:history="1">
        <w:r w:rsidRPr="00DC69A0">
          <w:rPr>
            <w:rStyle w:val="Hyperlink"/>
          </w:rPr>
          <w:t>4.</w:t>
        </w:r>
        <w:r>
          <w:rPr>
            <w:rFonts w:asciiTheme="minorHAnsi" w:eastAsiaTheme="minorEastAsia" w:hAnsiTheme="minorHAnsi"/>
            <w:b w:val="0"/>
            <w:color w:val="auto"/>
            <w:sz w:val="22"/>
            <w:lang w:eastAsia="en-GB"/>
          </w:rPr>
          <w:tab/>
        </w:r>
        <w:r w:rsidRPr="00DC69A0">
          <w:rPr>
            <w:rStyle w:val="Hyperlink"/>
          </w:rPr>
          <w:t>Survey and Monitoring Methods</w:t>
        </w:r>
        <w:r>
          <w:rPr>
            <w:webHidden/>
          </w:rPr>
          <w:tab/>
        </w:r>
        <w:r>
          <w:rPr>
            <w:webHidden/>
          </w:rPr>
          <w:fldChar w:fldCharType="begin"/>
        </w:r>
        <w:r>
          <w:rPr>
            <w:webHidden/>
          </w:rPr>
          <w:instrText xml:space="preserve"> PAGEREF _Toc69458016 \h </w:instrText>
        </w:r>
        <w:r>
          <w:rPr>
            <w:webHidden/>
          </w:rPr>
        </w:r>
        <w:r>
          <w:rPr>
            <w:webHidden/>
          </w:rPr>
          <w:fldChar w:fldCharType="separate"/>
        </w:r>
        <w:r>
          <w:rPr>
            <w:webHidden/>
          </w:rPr>
          <w:t>8</w:t>
        </w:r>
        <w:r>
          <w:rPr>
            <w:webHidden/>
          </w:rPr>
          <w:fldChar w:fldCharType="end"/>
        </w:r>
      </w:hyperlink>
    </w:p>
    <w:p w14:paraId="50F067D0" w14:textId="33C70748" w:rsidR="00FF0E64" w:rsidRDefault="00FF0E64">
      <w:pPr>
        <w:pStyle w:val="TOC2"/>
        <w:rPr>
          <w:rFonts w:asciiTheme="minorHAnsi" w:eastAsiaTheme="minorEastAsia" w:hAnsiTheme="minorHAnsi"/>
          <w:noProof/>
          <w:color w:val="auto"/>
          <w:sz w:val="22"/>
          <w:lang w:eastAsia="en-GB"/>
        </w:rPr>
      </w:pPr>
      <w:hyperlink w:anchor="_Toc69458017" w:history="1">
        <w:r w:rsidRPr="00DC69A0">
          <w:rPr>
            <w:rStyle w:val="Hyperlink"/>
            <w:noProof/>
          </w:rPr>
          <w:t>4.1</w:t>
        </w:r>
        <w:r>
          <w:rPr>
            <w:rFonts w:asciiTheme="minorHAnsi" w:eastAsiaTheme="minorEastAsia" w:hAnsiTheme="minorHAnsi"/>
            <w:noProof/>
            <w:color w:val="auto"/>
            <w:sz w:val="22"/>
            <w:lang w:eastAsia="en-GB"/>
          </w:rPr>
          <w:tab/>
        </w:r>
        <w:r w:rsidRPr="00DC69A0">
          <w:rPr>
            <w:rStyle w:val="Hyperlink"/>
            <w:noProof/>
          </w:rPr>
          <w:t>Water sampling</w:t>
        </w:r>
        <w:r>
          <w:rPr>
            <w:noProof/>
            <w:webHidden/>
          </w:rPr>
          <w:tab/>
        </w:r>
        <w:r>
          <w:rPr>
            <w:noProof/>
            <w:webHidden/>
          </w:rPr>
          <w:fldChar w:fldCharType="begin"/>
        </w:r>
        <w:r>
          <w:rPr>
            <w:noProof/>
            <w:webHidden/>
          </w:rPr>
          <w:instrText xml:space="preserve"> PAGEREF _Toc69458017 \h </w:instrText>
        </w:r>
        <w:r>
          <w:rPr>
            <w:noProof/>
            <w:webHidden/>
          </w:rPr>
        </w:r>
        <w:r>
          <w:rPr>
            <w:noProof/>
            <w:webHidden/>
          </w:rPr>
          <w:fldChar w:fldCharType="separate"/>
        </w:r>
        <w:r>
          <w:rPr>
            <w:noProof/>
            <w:webHidden/>
          </w:rPr>
          <w:t>8</w:t>
        </w:r>
        <w:r>
          <w:rPr>
            <w:noProof/>
            <w:webHidden/>
          </w:rPr>
          <w:fldChar w:fldCharType="end"/>
        </w:r>
      </w:hyperlink>
    </w:p>
    <w:p w14:paraId="31CB6D2E" w14:textId="389AD8DA" w:rsidR="00FF0E64" w:rsidRDefault="00FF0E64">
      <w:pPr>
        <w:pStyle w:val="TOC2"/>
        <w:rPr>
          <w:rFonts w:asciiTheme="minorHAnsi" w:eastAsiaTheme="minorEastAsia" w:hAnsiTheme="minorHAnsi"/>
          <w:noProof/>
          <w:color w:val="auto"/>
          <w:sz w:val="22"/>
          <w:lang w:eastAsia="en-GB"/>
        </w:rPr>
      </w:pPr>
      <w:hyperlink w:anchor="_Toc69458018" w:history="1">
        <w:r w:rsidRPr="00DC69A0">
          <w:rPr>
            <w:rStyle w:val="Hyperlink"/>
            <w:noProof/>
          </w:rPr>
          <w:t>4.2</w:t>
        </w:r>
        <w:r>
          <w:rPr>
            <w:rFonts w:asciiTheme="minorHAnsi" w:eastAsiaTheme="minorEastAsia" w:hAnsiTheme="minorHAnsi"/>
            <w:noProof/>
            <w:color w:val="auto"/>
            <w:sz w:val="22"/>
            <w:lang w:eastAsia="en-GB"/>
          </w:rPr>
          <w:tab/>
        </w:r>
        <w:r w:rsidRPr="00DC69A0">
          <w:rPr>
            <w:rStyle w:val="Hyperlink"/>
            <w:noProof/>
          </w:rPr>
          <w:t>Water Profiling</w:t>
        </w:r>
        <w:r>
          <w:rPr>
            <w:noProof/>
            <w:webHidden/>
          </w:rPr>
          <w:tab/>
        </w:r>
        <w:r>
          <w:rPr>
            <w:noProof/>
            <w:webHidden/>
          </w:rPr>
          <w:fldChar w:fldCharType="begin"/>
        </w:r>
        <w:r>
          <w:rPr>
            <w:noProof/>
            <w:webHidden/>
          </w:rPr>
          <w:instrText xml:space="preserve"> PAGEREF _Toc69458018 \h </w:instrText>
        </w:r>
        <w:r>
          <w:rPr>
            <w:noProof/>
            <w:webHidden/>
          </w:rPr>
        </w:r>
        <w:r>
          <w:rPr>
            <w:noProof/>
            <w:webHidden/>
          </w:rPr>
          <w:fldChar w:fldCharType="separate"/>
        </w:r>
        <w:r>
          <w:rPr>
            <w:noProof/>
            <w:webHidden/>
          </w:rPr>
          <w:t>8</w:t>
        </w:r>
        <w:r>
          <w:rPr>
            <w:noProof/>
            <w:webHidden/>
          </w:rPr>
          <w:fldChar w:fldCharType="end"/>
        </w:r>
      </w:hyperlink>
    </w:p>
    <w:p w14:paraId="642856A6" w14:textId="734991D4" w:rsidR="00FF0E64" w:rsidRDefault="00FF0E64">
      <w:pPr>
        <w:pStyle w:val="TOC2"/>
        <w:rPr>
          <w:rFonts w:asciiTheme="minorHAnsi" w:eastAsiaTheme="minorEastAsia" w:hAnsiTheme="minorHAnsi"/>
          <w:noProof/>
          <w:color w:val="auto"/>
          <w:sz w:val="22"/>
          <w:lang w:eastAsia="en-GB"/>
        </w:rPr>
      </w:pPr>
      <w:hyperlink w:anchor="_Toc69458019" w:history="1">
        <w:r w:rsidRPr="00DC69A0">
          <w:rPr>
            <w:rStyle w:val="Hyperlink"/>
            <w:noProof/>
          </w:rPr>
          <w:t>4.3</w:t>
        </w:r>
        <w:r>
          <w:rPr>
            <w:rFonts w:asciiTheme="minorHAnsi" w:eastAsiaTheme="minorEastAsia" w:hAnsiTheme="minorHAnsi"/>
            <w:noProof/>
            <w:color w:val="auto"/>
            <w:sz w:val="22"/>
            <w:lang w:eastAsia="en-GB"/>
          </w:rPr>
          <w:tab/>
        </w:r>
        <w:r w:rsidRPr="00DC69A0">
          <w:rPr>
            <w:rStyle w:val="Hyperlink"/>
            <w:noProof/>
          </w:rPr>
          <w:t>Plankton Trawls</w:t>
        </w:r>
        <w:r>
          <w:rPr>
            <w:noProof/>
            <w:webHidden/>
          </w:rPr>
          <w:tab/>
        </w:r>
        <w:r>
          <w:rPr>
            <w:noProof/>
            <w:webHidden/>
          </w:rPr>
          <w:fldChar w:fldCharType="begin"/>
        </w:r>
        <w:r>
          <w:rPr>
            <w:noProof/>
            <w:webHidden/>
          </w:rPr>
          <w:instrText xml:space="preserve"> PAGEREF _Toc69458019 \h </w:instrText>
        </w:r>
        <w:r>
          <w:rPr>
            <w:noProof/>
            <w:webHidden/>
          </w:rPr>
        </w:r>
        <w:r>
          <w:rPr>
            <w:noProof/>
            <w:webHidden/>
          </w:rPr>
          <w:fldChar w:fldCharType="separate"/>
        </w:r>
        <w:r>
          <w:rPr>
            <w:noProof/>
            <w:webHidden/>
          </w:rPr>
          <w:t>8</w:t>
        </w:r>
        <w:r>
          <w:rPr>
            <w:noProof/>
            <w:webHidden/>
          </w:rPr>
          <w:fldChar w:fldCharType="end"/>
        </w:r>
      </w:hyperlink>
    </w:p>
    <w:p w14:paraId="7A910F71" w14:textId="3C1176E5" w:rsidR="00FF0E64" w:rsidRDefault="00FF0E64">
      <w:pPr>
        <w:pStyle w:val="TOC2"/>
        <w:rPr>
          <w:rFonts w:asciiTheme="minorHAnsi" w:eastAsiaTheme="minorEastAsia" w:hAnsiTheme="minorHAnsi"/>
          <w:noProof/>
          <w:color w:val="auto"/>
          <w:sz w:val="22"/>
          <w:lang w:eastAsia="en-GB"/>
        </w:rPr>
      </w:pPr>
      <w:hyperlink w:anchor="_Toc69458020" w:history="1">
        <w:r w:rsidRPr="00DC69A0">
          <w:rPr>
            <w:rStyle w:val="Hyperlink"/>
            <w:noProof/>
          </w:rPr>
          <w:t>4.4</w:t>
        </w:r>
        <w:r>
          <w:rPr>
            <w:rFonts w:asciiTheme="minorHAnsi" w:eastAsiaTheme="minorEastAsia" w:hAnsiTheme="minorHAnsi"/>
            <w:noProof/>
            <w:color w:val="auto"/>
            <w:sz w:val="22"/>
            <w:lang w:eastAsia="en-GB"/>
          </w:rPr>
          <w:tab/>
        </w:r>
        <w:r w:rsidRPr="00DC69A0">
          <w:rPr>
            <w:rStyle w:val="Hyperlink"/>
            <w:noProof/>
          </w:rPr>
          <w:t>Sediment Quality and Infauna (Grabs)</w:t>
        </w:r>
        <w:r>
          <w:rPr>
            <w:noProof/>
            <w:webHidden/>
          </w:rPr>
          <w:tab/>
        </w:r>
        <w:r>
          <w:rPr>
            <w:noProof/>
            <w:webHidden/>
          </w:rPr>
          <w:fldChar w:fldCharType="begin"/>
        </w:r>
        <w:r>
          <w:rPr>
            <w:noProof/>
            <w:webHidden/>
          </w:rPr>
          <w:instrText xml:space="preserve"> PAGEREF _Toc69458020 \h </w:instrText>
        </w:r>
        <w:r>
          <w:rPr>
            <w:noProof/>
            <w:webHidden/>
          </w:rPr>
        </w:r>
        <w:r>
          <w:rPr>
            <w:noProof/>
            <w:webHidden/>
          </w:rPr>
          <w:fldChar w:fldCharType="separate"/>
        </w:r>
        <w:r>
          <w:rPr>
            <w:noProof/>
            <w:webHidden/>
          </w:rPr>
          <w:t>9</w:t>
        </w:r>
        <w:r>
          <w:rPr>
            <w:noProof/>
            <w:webHidden/>
          </w:rPr>
          <w:fldChar w:fldCharType="end"/>
        </w:r>
      </w:hyperlink>
    </w:p>
    <w:p w14:paraId="2A0A6CE5" w14:textId="330D1716" w:rsidR="00FF0E64" w:rsidRDefault="00FF0E64">
      <w:pPr>
        <w:pStyle w:val="TOC2"/>
        <w:rPr>
          <w:rFonts w:asciiTheme="minorHAnsi" w:eastAsiaTheme="minorEastAsia" w:hAnsiTheme="minorHAnsi"/>
          <w:noProof/>
          <w:color w:val="auto"/>
          <w:sz w:val="22"/>
          <w:lang w:eastAsia="en-GB"/>
        </w:rPr>
      </w:pPr>
      <w:hyperlink w:anchor="_Toc69458021" w:history="1">
        <w:r w:rsidRPr="00DC69A0">
          <w:rPr>
            <w:rStyle w:val="Hyperlink"/>
            <w:noProof/>
          </w:rPr>
          <w:t>4.5</w:t>
        </w:r>
        <w:r>
          <w:rPr>
            <w:rFonts w:asciiTheme="minorHAnsi" w:eastAsiaTheme="minorEastAsia" w:hAnsiTheme="minorHAnsi"/>
            <w:noProof/>
            <w:color w:val="auto"/>
            <w:sz w:val="22"/>
            <w:lang w:eastAsia="en-GB"/>
          </w:rPr>
          <w:tab/>
        </w:r>
        <w:r w:rsidRPr="00DC69A0">
          <w:rPr>
            <w:rStyle w:val="Hyperlink"/>
            <w:noProof/>
          </w:rPr>
          <w:t>Fish and Epibenthos</w:t>
        </w:r>
        <w:r>
          <w:rPr>
            <w:noProof/>
            <w:webHidden/>
          </w:rPr>
          <w:tab/>
        </w:r>
        <w:r>
          <w:rPr>
            <w:noProof/>
            <w:webHidden/>
          </w:rPr>
          <w:fldChar w:fldCharType="begin"/>
        </w:r>
        <w:r>
          <w:rPr>
            <w:noProof/>
            <w:webHidden/>
          </w:rPr>
          <w:instrText xml:space="preserve"> PAGEREF _Toc69458021 \h </w:instrText>
        </w:r>
        <w:r>
          <w:rPr>
            <w:noProof/>
            <w:webHidden/>
          </w:rPr>
        </w:r>
        <w:r>
          <w:rPr>
            <w:noProof/>
            <w:webHidden/>
          </w:rPr>
          <w:fldChar w:fldCharType="separate"/>
        </w:r>
        <w:r>
          <w:rPr>
            <w:noProof/>
            <w:webHidden/>
          </w:rPr>
          <w:t>9</w:t>
        </w:r>
        <w:r>
          <w:rPr>
            <w:noProof/>
            <w:webHidden/>
          </w:rPr>
          <w:fldChar w:fldCharType="end"/>
        </w:r>
      </w:hyperlink>
    </w:p>
    <w:p w14:paraId="6D0056FE" w14:textId="7FD1A8FD" w:rsidR="00FF0E64" w:rsidRDefault="00FF0E64">
      <w:pPr>
        <w:pStyle w:val="TOC2"/>
        <w:rPr>
          <w:rFonts w:asciiTheme="minorHAnsi" w:eastAsiaTheme="minorEastAsia" w:hAnsiTheme="minorHAnsi"/>
          <w:noProof/>
          <w:color w:val="auto"/>
          <w:sz w:val="22"/>
          <w:lang w:eastAsia="en-GB"/>
        </w:rPr>
      </w:pPr>
      <w:hyperlink w:anchor="_Toc69458022" w:history="1">
        <w:r w:rsidRPr="00DC69A0">
          <w:rPr>
            <w:rStyle w:val="Hyperlink"/>
            <w:noProof/>
          </w:rPr>
          <w:t>4.6</w:t>
        </w:r>
        <w:r>
          <w:rPr>
            <w:rFonts w:asciiTheme="minorHAnsi" w:eastAsiaTheme="minorEastAsia" w:hAnsiTheme="minorHAnsi"/>
            <w:noProof/>
            <w:color w:val="auto"/>
            <w:sz w:val="22"/>
            <w:lang w:eastAsia="en-GB"/>
          </w:rPr>
          <w:tab/>
        </w:r>
        <w:r w:rsidRPr="00DC69A0">
          <w:rPr>
            <w:rStyle w:val="Hyperlink"/>
            <w:noProof/>
          </w:rPr>
          <w:t>Coral and Seagrass Communities</w:t>
        </w:r>
        <w:r>
          <w:rPr>
            <w:noProof/>
            <w:webHidden/>
          </w:rPr>
          <w:tab/>
        </w:r>
        <w:r>
          <w:rPr>
            <w:noProof/>
            <w:webHidden/>
          </w:rPr>
          <w:fldChar w:fldCharType="begin"/>
        </w:r>
        <w:r>
          <w:rPr>
            <w:noProof/>
            <w:webHidden/>
          </w:rPr>
          <w:instrText xml:space="preserve"> PAGEREF _Toc69458022 \h </w:instrText>
        </w:r>
        <w:r>
          <w:rPr>
            <w:noProof/>
            <w:webHidden/>
          </w:rPr>
        </w:r>
        <w:r>
          <w:rPr>
            <w:noProof/>
            <w:webHidden/>
          </w:rPr>
          <w:fldChar w:fldCharType="separate"/>
        </w:r>
        <w:r>
          <w:rPr>
            <w:noProof/>
            <w:webHidden/>
          </w:rPr>
          <w:t>10</w:t>
        </w:r>
        <w:r>
          <w:rPr>
            <w:noProof/>
            <w:webHidden/>
          </w:rPr>
          <w:fldChar w:fldCharType="end"/>
        </w:r>
      </w:hyperlink>
    </w:p>
    <w:p w14:paraId="41164B41" w14:textId="58890336" w:rsidR="00FF0E64" w:rsidRDefault="00FF0E64">
      <w:pPr>
        <w:pStyle w:val="TOC2"/>
        <w:rPr>
          <w:rFonts w:asciiTheme="minorHAnsi" w:eastAsiaTheme="minorEastAsia" w:hAnsiTheme="minorHAnsi"/>
          <w:noProof/>
          <w:color w:val="auto"/>
          <w:sz w:val="22"/>
          <w:lang w:eastAsia="en-GB"/>
        </w:rPr>
      </w:pPr>
      <w:hyperlink w:anchor="_Toc69458023" w:history="1">
        <w:r w:rsidRPr="00DC69A0">
          <w:rPr>
            <w:rStyle w:val="Hyperlink"/>
            <w:noProof/>
          </w:rPr>
          <w:t>4.7</w:t>
        </w:r>
        <w:r>
          <w:rPr>
            <w:rFonts w:asciiTheme="minorHAnsi" w:eastAsiaTheme="minorEastAsia" w:hAnsiTheme="minorHAnsi"/>
            <w:noProof/>
            <w:color w:val="auto"/>
            <w:sz w:val="22"/>
            <w:lang w:eastAsia="en-GB"/>
          </w:rPr>
          <w:tab/>
        </w:r>
        <w:r w:rsidRPr="00DC69A0">
          <w:rPr>
            <w:rStyle w:val="Hyperlink"/>
            <w:noProof/>
          </w:rPr>
          <w:t>Large-scale Habitat Mapping</w:t>
        </w:r>
        <w:r>
          <w:rPr>
            <w:noProof/>
            <w:webHidden/>
          </w:rPr>
          <w:tab/>
        </w:r>
        <w:r>
          <w:rPr>
            <w:noProof/>
            <w:webHidden/>
          </w:rPr>
          <w:fldChar w:fldCharType="begin"/>
        </w:r>
        <w:r>
          <w:rPr>
            <w:noProof/>
            <w:webHidden/>
          </w:rPr>
          <w:instrText xml:space="preserve"> PAGEREF _Toc69458023 \h </w:instrText>
        </w:r>
        <w:r>
          <w:rPr>
            <w:noProof/>
            <w:webHidden/>
          </w:rPr>
        </w:r>
        <w:r>
          <w:rPr>
            <w:noProof/>
            <w:webHidden/>
          </w:rPr>
          <w:fldChar w:fldCharType="separate"/>
        </w:r>
        <w:r>
          <w:rPr>
            <w:noProof/>
            <w:webHidden/>
          </w:rPr>
          <w:t>11</w:t>
        </w:r>
        <w:r>
          <w:rPr>
            <w:noProof/>
            <w:webHidden/>
          </w:rPr>
          <w:fldChar w:fldCharType="end"/>
        </w:r>
      </w:hyperlink>
    </w:p>
    <w:p w14:paraId="0F51D58E" w14:textId="46EA4AF9" w:rsidR="00FF0E64" w:rsidRDefault="00FF0E64">
      <w:pPr>
        <w:pStyle w:val="TOC2"/>
        <w:rPr>
          <w:rFonts w:asciiTheme="minorHAnsi" w:eastAsiaTheme="minorEastAsia" w:hAnsiTheme="minorHAnsi"/>
          <w:noProof/>
          <w:color w:val="auto"/>
          <w:sz w:val="22"/>
          <w:lang w:eastAsia="en-GB"/>
        </w:rPr>
      </w:pPr>
      <w:hyperlink w:anchor="_Toc69458024" w:history="1">
        <w:r w:rsidRPr="00DC69A0">
          <w:rPr>
            <w:rStyle w:val="Hyperlink"/>
            <w:noProof/>
          </w:rPr>
          <w:t>4.8</w:t>
        </w:r>
        <w:r>
          <w:rPr>
            <w:rFonts w:asciiTheme="minorHAnsi" w:eastAsiaTheme="minorEastAsia" w:hAnsiTheme="minorHAnsi"/>
            <w:noProof/>
            <w:color w:val="auto"/>
            <w:sz w:val="22"/>
            <w:lang w:eastAsia="en-GB"/>
          </w:rPr>
          <w:tab/>
        </w:r>
        <w:r w:rsidRPr="00DC69A0">
          <w:rPr>
            <w:rStyle w:val="Hyperlink"/>
            <w:noProof/>
          </w:rPr>
          <w:t>Marine Megafauna and Birds</w:t>
        </w:r>
        <w:r>
          <w:rPr>
            <w:noProof/>
            <w:webHidden/>
          </w:rPr>
          <w:tab/>
        </w:r>
        <w:r>
          <w:rPr>
            <w:noProof/>
            <w:webHidden/>
          </w:rPr>
          <w:fldChar w:fldCharType="begin"/>
        </w:r>
        <w:r>
          <w:rPr>
            <w:noProof/>
            <w:webHidden/>
          </w:rPr>
          <w:instrText xml:space="preserve"> PAGEREF _Toc69458024 \h </w:instrText>
        </w:r>
        <w:r>
          <w:rPr>
            <w:noProof/>
            <w:webHidden/>
          </w:rPr>
        </w:r>
        <w:r>
          <w:rPr>
            <w:noProof/>
            <w:webHidden/>
          </w:rPr>
          <w:fldChar w:fldCharType="separate"/>
        </w:r>
        <w:r>
          <w:rPr>
            <w:noProof/>
            <w:webHidden/>
          </w:rPr>
          <w:t>11</w:t>
        </w:r>
        <w:r>
          <w:rPr>
            <w:noProof/>
            <w:webHidden/>
          </w:rPr>
          <w:fldChar w:fldCharType="end"/>
        </w:r>
      </w:hyperlink>
    </w:p>
    <w:p w14:paraId="517A735D" w14:textId="4AD5D54E" w:rsidR="00FF0E64" w:rsidRDefault="00FF0E64">
      <w:pPr>
        <w:pStyle w:val="TOC3"/>
        <w:rPr>
          <w:rFonts w:asciiTheme="minorHAnsi" w:eastAsiaTheme="minorEastAsia" w:hAnsiTheme="minorHAnsi"/>
          <w:noProof/>
          <w:color w:val="auto"/>
          <w:sz w:val="22"/>
          <w:lang w:eastAsia="en-GB"/>
        </w:rPr>
      </w:pPr>
      <w:hyperlink w:anchor="_Toc69458025" w:history="1">
        <w:r w:rsidRPr="00DC69A0">
          <w:rPr>
            <w:rStyle w:val="Hyperlink"/>
            <w:noProof/>
          </w:rPr>
          <w:t>Ground Level Observations</w:t>
        </w:r>
        <w:r>
          <w:rPr>
            <w:noProof/>
            <w:webHidden/>
          </w:rPr>
          <w:tab/>
        </w:r>
        <w:r>
          <w:rPr>
            <w:noProof/>
            <w:webHidden/>
          </w:rPr>
          <w:fldChar w:fldCharType="begin"/>
        </w:r>
        <w:r>
          <w:rPr>
            <w:noProof/>
            <w:webHidden/>
          </w:rPr>
          <w:instrText xml:space="preserve"> PAGEREF _Toc69458025 \h </w:instrText>
        </w:r>
        <w:r>
          <w:rPr>
            <w:noProof/>
            <w:webHidden/>
          </w:rPr>
        </w:r>
        <w:r>
          <w:rPr>
            <w:noProof/>
            <w:webHidden/>
          </w:rPr>
          <w:fldChar w:fldCharType="separate"/>
        </w:r>
        <w:r>
          <w:rPr>
            <w:noProof/>
            <w:webHidden/>
          </w:rPr>
          <w:t>12</w:t>
        </w:r>
        <w:r>
          <w:rPr>
            <w:noProof/>
            <w:webHidden/>
          </w:rPr>
          <w:fldChar w:fldCharType="end"/>
        </w:r>
      </w:hyperlink>
    </w:p>
    <w:p w14:paraId="61A89B43" w14:textId="4404FF41" w:rsidR="00FF0E64" w:rsidRDefault="00FF0E64">
      <w:pPr>
        <w:pStyle w:val="TOC3"/>
        <w:rPr>
          <w:rFonts w:asciiTheme="minorHAnsi" w:eastAsiaTheme="minorEastAsia" w:hAnsiTheme="minorHAnsi"/>
          <w:noProof/>
          <w:color w:val="auto"/>
          <w:sz w:val="22"/>
          <w:lang w:eastAsia="en-GB"/>
        </w:rPr>
      </w:pPr>
      <w:hyperlink w:anchor="_Toc69458026" w:history="1">
        <w:r w:rsidRPr="00DC69A0">
          <w:rPr>
            <w:rStyle w:val="Hyperlink"/>
            <w:noProof/>
          </w:rPr>
          <w:t>Shipboard Observations</w:t>
        </w:r>
        <w:r>
          <w:rPr>
            <w:noProof/>
            <w:webHidden/>
          </w:rPr>
          <w:tab/>
        </w:r>
        <w:r>
          <w:rPr>
            <w:noProof/>
            <w:webHidden/>
          </w:rPr>
          <w:fldChar w:fldCharType="begin"/>
        </w:r>
        <w:r>
          <w:rPr>
            <w:noProof/>
            <w:webHidden/>
          </w:rPr>
          <w:instrText xml:space="preserve"> PAGEREF _Toc69458026 \h </w:instrText>
        </w:r>
        <w:r>
          <w:rPr>
            <w:noProof/>
            <w:webHidden/>
          </w:rPr>
        </w:r>
        <w:r>
          <w:rPr>
            <w:noProof/>
            <w:webHidden/>
          </w:rPr>
          <w:fldChar w:fldCharType="separate"/>
        </w:r>
        <w:r>
          <w:rPr>
            <w:noProof/>
            <w:webHidden/>
          </w:rPr>
          <w:t>12</w:t>
        </w:r>
        <w:r>
          <w:rPr>
            <w:noProof/>
            <w:webHidden/>
          </w:rPr>
          <w:fldChar w:fldCharType="end"/>
        </w:r>
      </w:hyperlink>
    </w:p>
    <w:p w14:paraId="1C59496F" w14:textId="27F240FF" w:rsidR="00FF0E64" w:rsidRDefault="00FF0E64">
      <w:pPr>
        <w:pStyle w:val="TOC3"/>
        <w:rPr>
          <w:rFonts w:asciiTheme="minorHAnsi" w:eastAsiaTheme="minorEastAsia" w:hAnsiTheme="minorHAnsi"/>
          <w:noProof/>
          <w:color w:val="auto"/>
          <w:sz w:val="22"/>
          <w:lang w:eastAsia="en-GB"/>
        </w:rPr>
      </w:pPr>
      <w:hyperlink w:anchor="_Toc69458027" w:history="1">
        <w:r w:rsidRPr="00DC69A0">
          <w:rPr>
            <w:rStyle w:val="Hyperlink"/>
            <w:noProof/>
          </w:rPr>
          <w:t>Land Based Observations</w:t>
        </w:r>
        <w:r>
          <w:rPr>
            <w:noProof/>
            <w:webHidden/>
          </w:rPr>
          <w:tab/>
        </w:r>
        <w:r>
          <w:rPr>
            <w:noProof/>
            <w:webHidden/>
          </w:rPr>
          <w:fldChar w:fldCharType="begin"/>
        </w:r>
        <w:r>
          <w:rPr>
            <w:noProof/>
            <w:webHidden/>
          </w:rPr>
          <w:instrText xml:space="preserve"> PAGEREF _Toc69458027 \h </w:instrText>
        </w:r>
        <w:r>
          <w:rPr>
            <w:noProof/>
            <w:webHidden/>
          </w:rPr>
        </w:r>
        <w:r>
          <w:rPr>
            <w:noProof/>
            <w:webHidden/>
          </w:rPr>
          <w:fldChar w:fldCharType="separate"/>
        </w:r>
        <w:r>
          <w:rPr>
            <w:noProof/>
            <w:webHidden/>
          </w:rPr>
          <w:t>12</w:t>
        </w:r>
        <w:r>
          <w:rPr>
            <w:noProof/>
            <w:webHidden/>
          </w:rPr>
          <w:fldChar w:fldCharType="end"/>
        </w:r>
      </w:hyperlink>
    </w:p>
    <w:p w14:paraId="2862F6FA" w14:textId="3DED3DC7" w:rsidR="00FF0E64" w:rsidRDefault="00FF0E64">
      <w:pPr>
        <w:pStyle w:val="TOC3"/>
        <w:rPr>
          <w:rFonts w:asciiTheme="minorHAnsi" w:eastAsiaTheme="minorEastAsia" w:hAnsiTheme="minorHAnsi"/>
          <w:noProof/>
          <w:color w:val="auto"/>
          <w:sz w:val="22"/>
          <w:lang w:eastAsia="en-GB"/>
        </w:rPr>
      </w:pPr>
      <w:hyperlink w:anchor="_Toc69458028" w:history="1">
        <w:r w:rsidRPr="00DC69A0">
          <w:rPr>
            <w:rStyle w:val="Hyperlink"/>
            <w:noProof/>
          </w:rPr>
          <w:t>Sea Turtle Nesting Beaches</w:t>
        </w:r>
        <w:r>
          <w:rPr>
            <w:noProof/>
            <w:webHidden/>
          </w:rPr>
          <w:tab/>
        </w:r>
        <w:r>
          <w:rPr>
            <w:noProof/>
            <w:webHidden/>
          </w:rPr>
          <w:fldChar w:fldCharType="begin"/>
        </w:r>
        <w:r>
          <w:rPr>
            <w:noProof/>
            <w:webHidden/>
          </w:rPr>
          <w:instrText xml:space="preserve"> PAGEREF _Toc69458028 \h </w:instrText>
        </w:r>
        <w:r>
          <w:rPr>
            <w:noProof/>
            <w:webHidden/>
          </w:rPr>
        </w:r>
        <w:r>
          <w:rPr>
            <w:noProof/>
            <w:webHidden/>
          </w:rPr>
          <w:fldChar w:fldCharType="separate"/>
        </w:r>
        <w:r>
          <w:rPr>
            <w:noProof/>
            <w:webHidden/>
          </w:rPr>
          <w:t>12</w:t>
        </w:r>
        <w:r>
          <w:rPr>
            <w:noProof/>
            <w:webHidden/>
          </w:rPr>
          <w:fldChar w:fldCharType="end"/>
        </w:r>
      </w:hyperlink>
    </w:p>
    <w:p w14:paraId="77A98B84" w14:textId="1285ACB1" w:rsidR="00FF0E64" w:rsidRDefault="00FF0E64">
      <w:pPr>
        <w:pStyle w:val="TOC3"/>
        <w:rPr>
          <w:rFonts w:asciiTheme="minorHAnsi" w:eastAsiaTheme="minorEastAsia" w:hAnsiTheme="minorHAnsi"/>
          <w:noProof/>
          <w:color w:val="auto"/>
          <w:sz w:val="22"/>
          <w:lang w:eastAsia="en-GB"/>
        </w:rPr>
      </w:pPr>
      <w:hyperlink w:anchor="_Toc69458029" w:history="1">
        <w:r w:rsidRPr="00DC69A0">
          <w:rPr>
            <w:rStyle w:val="Hyperlink"/>
            <w:noProof/>
          </w:rPr>
          <w:t>Aerial Surveys</w:t>
        </w:r>
        <w:r>
          <w:rPr>
            <w:noProof/>
            <w:webHidden/>
          </w:rPr>
          <w:tab/>
        </w:r>
        <w:r>
          <w:rPr>
            <w:noProof/>
            <w:webHidden/>
          </w:rPr>
          <w:fldChar w:fldCharType="begin"/>
        </w:r>
        <w:r>
          <w:rPr>
            <w:noProof/>
            <w:webHidden/>
          </w:rPr>
          <w:instrText xml:space="preserve"> PAGEREF _Toc69458029 \h </w:instrText>
        </w:r>
        <w:r>
          <w:rPr>
            <w:noProof/>
            <w:webHidden/>
          </w:rPr>
        </w:r>
        <w:r>
          <w:rPr>
            <w:noProof/>
            <w:webHidden/>
          </w:rPr>
          <w:fldChar w:fldCharType="separate"/>
        </w:r>
        <w:r>
          <w:rPr>
            <w:noProof/>
            <w:webHidden/>
          </w:rPr>
          <w:t>13</w:t>
        </w:r>
        <w:r>
          <w:rPr>
            <w:noProof/>
            <w:webHidden/>
          </w:rPr>
          <w:fldChar w:fldCharType="end"/>
        </w:r>
      </w:hyperlink>
    </w:p>
    <w:p w14:paraId="3E5A37B8" w14:textId="1CDAAA80" w:rsidR="00FF0E64" w:rsidRDefault="00FF0E64">
      <w:pPr>
        <w:pStyle w:val="TOC1"/>
        <w:rPr>
          <w:rFonts w:asciiTheme="minorHAnsi" w:eastAsiaTheme="minorEastAsia" w:hAnsiTheme="minorHAnsi"/>
          <w:b w:val="0"/>
          <w:color w:val="auto"/>
          <w:sz w:val="22"/>
          <w:lang w:eastAsia="en-GB"/>
        </w:rPr>
      </w:pPr>
      <w:hyperlink w:anchor="_Toc69458030" w:history="1">
        <w:r w:rsidRPr="00DC69A0">
          <w:rPr>
            <w:rStyle w:val="Hyperlink"/>
          </w:rPr>
          <w:t>5.</w:t>
        </w:r>
        <w:r>
          <w:rPr>
            <w:rFonts w:asciiTheme="minorHAnsi" w:eastAsiaTheme="minorEastAsia" w:hAnsiTheme="minorHAnsi"/>
            <w:b w:val="0"/>
            <w:color w:val="auto"/>
            <w:sz w:val="22"/>
            <w:lang w:eastAsia="en-GB"/>
          </w:rPr>
          <w:tab/>
        </w:r>
        <w:r w:rsidRPr="00DC69A0">
          <w:rPr>
            <w:rStyle w:val="Hyperlink"/>
          </w:rPr>
          <w:t>Baseline reporting</w:t>
        </w:r>
        <w:r>
          <w:rPr>
            <w:webHidden/>
          </w:rPr>
          <w:tab/>
        </w:r>
        <w:r>
          <w:rPr>
            <w:webHidden/>
          </w:rPr>
          <w:fldChar w:fldCharType="begin"/>
        </w:r>
        <w:r>
          <w:rPr>
            <w:webHidden/>
          </w:rPr>
          <w:instrText xml:space="preserve"> PAGEREF _Toc69458030 \h </w:instrText>
        </w:r>
        <w:r>
          <w:rPr>
            <w:webHidden/>
          </w:rPr>
        </w:r>
        <w:r>
          <w:rPr>
            <w:webHidden/>
          </w:rPr>
          <w:fldChar w:fldCharType="separate"/>
        </w:r>
        <w:r>
          <w:rPr>
            <w:webHidden/>
          </w:rPr>
          <w:t>14</w:t>
        </w:r>
        <w:r>
          <w:rPr>
            <w:webHidden/>
          </w:rPr>
          <w:fldChar w:fldCharType="end"/>
        </w:r>
      </w:hyperlink>
    </w:p>
    <w:p w14:paraId="261875EC" w14:textId="1D638439" w:rsidR="00FF0E64" w:rsidRDefault="00FF0E64">
      <w:pPr>
        <w:pStyle w:val="TOC2"/>
        <w:rPr>
          <w:rFonts w:asciiTheme="minorHAnsi" w:eastAsiaTheme="minorEastAsia" w:hAnsiTheme="minorHAnsi"/>
          <w:noProof/>
          <w:color w:val="auto"/>
          <w:sz w:val="22"/>
          <w:lang w:eastAsia="en-GB"/>
        </w:rPr>
      </w:pPr>
      <w:hyperlink w:anchor="_Toc69458031" w:history="1">
        <w:r w:rsidRPr="00DC69A0">
          <w:rPr>
            <w:rStyle w:val="Hyperlink"/>
            <w:noProof/>
          </w:rPr>
          <w:t>5.1</w:t>
        </w:r>
        <w:r>
          <w:rPr>
            <w:rFonts w:asciiTheme="minorHAnsi" w:eastAsiaTheme="minorEastAsia" w:hAnsiTheme="minorHAnsi"/>
            <w:noProof/>
            <w:color w:val="auto"/>
            <w:sz w:val="22"/>
            <w:lang w:eastAsia="en-GB"/>
          </w:rPr>
          <w:tab/>
        </w:r>
        <w:r w:rsidRPr="00DC69A0">
          <w:rPr>
            <w:rStyle w:val="Hyperlink"/>
            <w:noProof/>
          </w:rPr>
          <w:t>Analysis</w:t>
        </w:r>
        <w:r>
          <w:rPr>
            <w:noProof/>
            <w:webHidden/>
          </w:rPr>
          <w:tab/>
        </w:r>
        <w:r>
          <w:rPr>
            <w:noProof/>
            <w:webHidden/>
          </w:rPr>
          <w:fldChar w:fldCharType="begin"/>
        </w:r>
        <w:r>
          <w:rPr>
            <w:noProof/>
            <w:webHidden/>
          </w:rPr>
          <w:instrText xml:space="preserve"> PAGEREF _Toc69458031 \h </w:instrText>
        </w:r>
        <w:r>
          <w:rPr>
            <w:noProof/>
            <w:webHidden/>
          </w:rPr>
        </w:r>
        <w:r>
          <w:rPr>
            <w:noProof/>
            <w:webHidden/>
          </w:rPr>
          <w:fldChar w:fldCharType="separate"/>
        </w:r>
        <w:r>
          <w:rPr>
            <w:noProof/>
            <w:webHidden/>
          </w:rPr>
          <w:t>14</w:t>
        </w:r>
        <w:r>
          <w:rPr>
            <w:noProof/>
            <w:webHidden/>
          </w:rPr>
          <w:fldChar w:fldCharType="end"/>
        </w:r>
      </w:hyperlink>
    </w:p>
    <w:p w14:paraId="13709DAD" w14:textId="7341F838" w:rsidR="00FF0E64" w:rsidRDefault="00FF0E64">
      <w:pPr>
        <w:pStyle w:val="TOC2"/>
        <w:rPr>
          <w:rFonts w:asciiTheme="minorHAnsi" w:eastAsiaTheme="minorEastAsia" w:hAnsiTheme="minorHAnsi"/>
          <w:noProof/>
          <w:color w:val="auto"/>
          <w:sz w:val="22"/>
          <w:lang w:eastAsia="en-GB"/>
        </w:rPr>
      </w:pPr>
      <w:hyperlink w:anchor="_Toc69458032" w:history="1">
        <w:r w:rsidRPr="00DC69A0">
          <w:rPr>
            <w:rStyle w:val="Hyperlink"/>
            <w:noProof/>
          </w:rPr>
          <w:t>5.2</w:t>
        </w:r>
        <w:r>
          <w:rPr>
            <w:rFonts w:asciiTheme="minorHAnsi" w:eastAsiaTheme="minorEastAsia" w:hAnsiTheme="minorHAnsi"/>
            <w:noProof/>
            <w:color w:val="auto"/>
            <w:sz w:val="22"/>
            <w:lang w:eastAsia="en-GB"/>
          </w:rPr>
          <w:tab/>
        </w:r>
        <w:r w:rsidRPr="00DC69A0">
          <w:rPr>
            <w:rStyle w:val="Hyperlink"/>
            <w:noProof/>
          </w:rPr>
          <w:t>Reporting</w:t>
        </w:r>
        <w:r>
          <w:rPr>
            <w:noProof/>
            <w:webHidden/>
          </w:rPr>
          <w:tab/>
        </w:r>
        <w:r>
          <w:rPr>
            <w:noProof/>
            <w:webHidden/>
          </w:rPr>
          <w:fldChar w:fldCharType="begin"/>
        </w:r>
        <w:r>
          <w:rPr>
            <w:noProof/>
            <w:webHidden/>
          </w:rPr>
          <w:instrText xml:space="preserve"> PAGEREF _Toc69458032 \h </w:instrText>
        </w:r>
        <w:r>
          <w:rPr>
            <w:noProof/>
            <w:webHidden/>
          </w:rPr>
        </w:r>
        <w:r>
          <w:rPr>
            <w:noProof/>
            <w:webHidden/>
          </w:rPr>
          <w:fldChar w:fldCharType="separate"/>
        </w:r>
        <w:r>
          <w:rPr>
            <w:noProof/>
            <w:webHidden/>
          </w:rPr>
          <w:t>14</w:t>
        </w:r>
        <w:r>
          <w:rPr>
            <w:noProof/>
            <w:webHidden/>
          </w:rPr>
          <w:fldChar w:fldCharType="end"/>
        </w:r>
      </w:hyperlink>
    </w:p>
    <w:p w14:paraId="0BDCEC80" w14:textId="625DBF80" w:rsidR="001A602D" w:rsidRPr="00635388" w:rsidRDefault="00DB7666" w:rsidP="0066275B">
      <w:pPr>
        <w:pStyle w:val="WDBodySmall"/>
        <w:rPr>
          <w:noProof/>
        </w:rPr>
      </w:pPr>
      <w:r w:rsidRPr="00635388">
        <w:rPr>
          <w:noProof/>
        </w:rPr>
        <w:fldChar w:fldCharType="end"/>
      </w:r>
      <w:bookmarkEnd w:id="11"/>
    </w:p>
    <w:p w14:paraId="35698EFE" w14:textId="77777777" w:rsidR="001A602D" w:rsidRPr="00635388" w:rsidRDefault="001A602D" w:rsidP="008B0D5C">
      <w:pPr>
        <w:pStyle w:val="WDBodySmall"/>
        <w:pBdr>
          <w:bottom w:val="single" w:sz="2" w:space="1" w:color="36353F" w:themeColor="text1"/>
        </w:pBdr>
      </w:pPr>
    </w:p>
    <w:p w14:paraId="2D9F6B5C" w14:textId="77777777" w:rsidR="008165F1" w:rsidRPr="00635388" w:rsidRDefault="008165F1" w:rsidP="00B64508">
      <w:pPr>
        <w:pStyle w:val="WDBodySmall"/>
      </w:pPr>
    </w:p>
    <w:p w14:paraId="562A76C4" w14:textId="77777777" w:rsidR="008165F1" w:rsidRPr="00635388" w:rsidRDefault="008165F1" w:rsidP="008B0D5C">
      <w:pPr>
        <w:pStyle w:val="TableofFigures"/>
        <w:pBdr>
          <w:bottom w:val="single" w:sz="2" w:space="1" w:color="36353F" w:themeColor="text1"/>
        </w:pBdr>
        <w:ind w:left="0"/>
      </w:pPr>
    </w:p>
    <w:p w14:paraId="361B304B" w14:textId="77777777" w:rsidR="00B64508" w:rsidRPr="00635388" w:rsidRDefault="00B64508" w:rsidP="00B64508">
      <w:pPr>
        <w:pStyle w:val="WDBodySmall"/>
      </w:pPr>
    </w:p>
    <w:p w14:paraId="3FEB5005" w14:textId="34108868" w:rsidR="00B659C8" w:rsidRPr="00635388" w:rsidRDefault="00B659C8" w:rsidP="00B659C8">
      <w:pPr>
        <w:pStyle w:val="TableofFigures"/>
        <w:pBdr>
          <w:bottom w:val="single" w:sz="2" w:space="1" w:color="36353F" w:themeColor="text1"/>
        </w:pBdr>
        <w:ind w:left="0"/>
      </w:pPr>
    </w:p>
    <w:p w14:paraId="3DEA6E04" w14:textId="77777777" w:rsidR="000921BD" w:rsidRDefault="000921BD" w:rsidP="000921BD">
      <w:pPr>
        <w:pStyle w:val="WDBodySmall"/>
      </w:pPr>
    </w:p>
    <w:p w14:paraId="6DA85C1F" w14:textId="77777777" w:rsidR="00E562C9" w:rsidRPr="00635388" w:rsidRDefault="00E562C9" w:rsidP="00E562C9">
      <w:pPr>
        <w:pStyle w:val="WDBodySmall"/>
      </w:pPr>
    </w:p>
    <w:bookmarkEnd w:id="12"/>
    <w:p w14:paraId="1A62B288" w14:textId="77777777" w:rsidR="00620D68" w:rsidRPr="00635388" w:rsidRDefault="00620D68" w:rsidP="001A602D">
      <w:pPr>
        <w:pStyle w:val="Heading1"/>
        <w:sectPr w:rsidR="00620D68" w:rsidRPr="00635388" w:rsidSect="00825836">
          <w:pgSz w:w="11906" w:h="16838"/>
          <w:pgMar w:top="1417" w:right="1134" w:bottom="1134" w:left="1134" w:header="708" w:footer="708" w:gutter="0"/>
          <w:cols w:space="708"/>
          <w:docGrid w:linePitch="360"/>
        </w:sectPr>
      </w:pPr>
    </w:p>
    <w:p w14:paraId="5767BBA9" w14:textId="77777777" w:rsidR="00B5676A" w:rsidRPr="00635388" w:rsidRDefault="00825836" w:rsidP="001A602D">
      <w:pPr>
        <w:pStyle w:val="Heading1"/>
      </w:pPr>
      <w:bookmarkStart w:id="13" w:name="_Toc69458009"/>
      <w:r w:rsidRPr="00635388">
        <w:lastRenderedPageBreak/>
        <w:t>Introduction</w:t>
      </w:r>
      <w:bookmarkEnd w:id="13"/>
    </w:p>
    <w:p w14:paraId="6A160A50" w14:textId="44F5918A" w:rsidR="004C5129" w:rsidRDefault="00A05108" w:rsidP="00A05108">
      <w:pPr>
        <w:pStyle w:val="Heading2"/>
      </w:pPr>
      <w:bookmarkStart w:id="14" w:name="_Toc69458010"/>
      <w:r w:rsidRPr="00A05108">
        <w:t>Preamble</w:t>
      </w:r>
      <w:bookmarkEnd w:id="14"/>
    </w:p>
    <w:p w14:paraId="60BC8265" w14:textId="3FCB0858" w:rsidR="000E61FD" w:rsidRDefault="000E61FD" w:rsidP="000E61FD">
      <w:pPr>
        <w:pStyle w:val="WDBody"/>
      </w:pPr>
      <w:r>
        <w:t xml:space="preserve">Amec Foster Wheeler Energy and Partners Engineering Company (hereafter referred to as “Wood”) is pleased to provide this technical methodology to NEOM. This technical methodology outlines </w:t>
      </w:r>
      <w:r w:rsidR="00267268">
        <w:t>the proposed a</w:t>
      </w:r>
      <w:r w:rsidR="00282FA8">
        <w:t xml:space="preserve">pproach to </w:t>
      </w:r>
      <w:r w:rsidR="00267268">
        <w:t xml:space="preserve">the </w:t>
      </w:r>
      <w:r w:rsidR="00282FA8">
        <w:t xml:space="preserve">conduct </w:t>
      </w:r>
      <w:r w:rsidR="001534AB">
        <w:t>marine</w:t>
      </w:r>
      <w:r w:rsidR="00D23146">
        <w:t xml:space="preserve"> monitoring program</w:t>
      </w:r>
      <w:r w:rsidR="00267268">
        <w:t>s</w:t>
      </w:r>
      <w:r>
        <w:t xml:space="preserve">, including </w:t>
      </w:r>
      <w:r w:rsidR="00BA5EA1">
        <w:t>detailed information of the equipment to be used</w:t>
      </w:r>
      <w:r>
        <w:t xml:space="preserve">, </w:t>
      </w:r>
      <w:r w:rsidR="00BA5EA1">
        <w:t>references to</w:t>
      </w:r>
      <w:r>
        <w:t xml:space="preserve"> </w:t>
      </w:r>
      <w:r w:rsidR="00DD36E8">
        <w:t>international standards and best practices</w:t>
      </w:r>
      <w:r w:rsidR="00B3720C">
        <w:t xml:space="preserve"> and </w:t>
      </w:r>
      <w:r w:rsidR="00241A45">
        <w:t>a description of the</w:t>
      </w:r>
      <w:r w:rsidR="005903B6">
        <w:t xml:space="preserve"> </w:t>
      </w:r>
      <w:r>
        <w:t>deliverables.</w:t>
      </w:r>
    </w:p>
    <w:p w14:paraId="781BDFAD" w14:textId="4C37C089" w:rsidR="001534AB" w:rsidRPr="001534AB" w:rsidRDefault="001534AB" w:rsidP="001534AB">
      <w:pPr>
        <w:pStyle w:val="WDBody"/>
      </w:pPr>
      <w:r w:rsidRPr="001534AB">
        <w:t xml:space="preserve">Large-scale construction activities are planned for the various NEOM development areas. It is therefore important to establish an accurate environmental baseline prior to these works, part of which will be a series of Marine Environmental Baseline Surveys (MEBS). These surveys will help </w:t>
      </w:r>
      <w:r w:rsidR="00B3720C" w:rsidRPr="001534AB">
        <w:t xml:space="preserve">to </w:t>
      </w:r>
      <w:r w:rsidRPr="001534AB">
        <w:t>identify key environmental sensitivities, and, in conjunction with future monitoring, provide early warning of any adverse environmental impact.</w:t>
      </w:r>
    </w:p>
    <w:p w14:paraId="19DACD4C" w14:textId="2106057C" w:rsidR="00A05108" w:rsidRDefault="001534AB" w:rsidP="001534AB">
      <w:pPr>
        <w:pStyle w:val="WDBody"/>
      </w:pPr>
      <w:r w:rsidRPr="001534AB">
        <w:t>This document sets out relevant technical standards and a brief overview of procedures for sampling of seawater, marine sediments and biota as well as spatially continuous surveying of habitats and fauna.  This will ensure that the MEBS and future monitoring are undertaken in a consistent manner and to a level that meets or exceeds international best practice.</w:t>
      </w:r>
    </w:p>
    <w:p w14:paraId="7F0D38EA" w14:textId="463D4888" w:rsidR="00055EB1" w:rsidRDefault="00055EB1" w:rsidP="00055EB1">
      <w:pPr>
        <w:pStyle w:val="Heading2"/>
      </w:pPr>
      <w:bookmarkStart w:id="15" w:name="_Toc69458011"/>
      <w:r>
        <w:t>Projects Background</w:t>
      </w:r>
      <w:bookmarkEnd w:id="15"/>
    </w:p>
    <w:p w14:paraId="46C8B41F" w14:textId="6A509531" w:rsidR="00055EB1" w:rsidRDefault="00055EB1" w:rsidP="00055EB1">
      <w:pPr>
        <w:pStyle w:val="WDBody"/>
      </w:pPr>
      <w:r>
        <w:t xml:space="preserve">Located in the northwest of Saudi Arabia on the Red Sea and Gulf of Aqaba coasts, NEOM </w:t>
      </w:r>
      <w:r w:rsidRPr="00D0510A">
        <w:t>spread</w:t>
      </w:r>
      <w:r>
        <w:t>s</w:t>
      </w:r>
      <w:r w:rsidRPr="00D0510A">
        <w:t xml:space="preserve"> over an area of 26,500 km</w:t>
      </w:r>
      <w:r w:rsidRPr="00D0510A">
        <w:rPr>
          <w:vertAlign w:val="superscript"/>
        </w:rPr>
        <w:t>2</w:t>
      </w:r>
      <w:r>
        <w:t xml:space="preserve"> </w:t>
      </w:r>
      <w:r w:rsidR="00A45560">
        <w:t>covering a</w:t>
      </w:r>
      <w:r>
        <w:t xml:space="preserve"> wide variety of activities and receptors. Limited information is currently available to characterize the marine environment in the region although it is know</w:t>
      </w:r>
      <w:r w:rsidR="00F233A2">
        <w:t>n</w:t>
      </w:r>
      <w:r>
        <w:t xml:space="preserve"> that these northern Red Sea water</w:t>
      </w:r>
      <w:r w:rsidR="00F233A2">
        <w:t>s</w:t>
      </w:r>
      <w:r>
        <w:t xml:space="preserve"> are species rich and represent valuable and sensitive habitats.  It is therefore necessary to collect primary data to support permit application for future developments and allow monitoring of effects over time.  </w:t>
      </w:r>
    </w:p>
    <w:p w14:paraId="1CB2E953" w14:textId="1CBE324D" w:rsidR="00055EB1" w:rsidRDefault="00055EB1" w:rsidP="00055EB1">
      <w:pPr>
        <w:pStyle w:val="WDBody"/>
      </w:pPr>
      <w:r>
        <w:t>As part of</w:t>
      </w:r>
      <w:r w:rsidRPr="0093116B">
        <w:t xml:space="preserve"> the NEOM Regional Baseline &amp; Monitoring Program </w:t>
      </w:r>
      <w:r>
        <w:t>a</w:t>
      </w:r>
      <w:r w:rsidR="000876E1">
        <w:t xml:space="preserve"> series of</w:t>
      </w:r>
      <w:r>
        <w:t xml:space="preserve"> marine survey</w:t>
      </w:r>
      <w:r w:rsidR="000876E1">
        <w:t>s</w:t>
      </w:r>
      <w:r>
        <w:t xml:space="preserve"> and monitoring campaign</w:t>
      </w:r>
      <w:r w:rsidR="000876E1">
        <w:t>s</w:t>
      </w:r>
      <w:r>
        <w:t xml:space="preserve"> </w:t>
      </w:r>
      <w:r w:rsidR="000876E1">
        <w:t>are being undertaken.  This Standard is to e</w:t>
      </w:r>
      <w:r w:rsidRPr="0093116B">
        <w:t>nsur</w:t>
      </w:r>
      <w:r w:rsidR="000876E1">
        <w:t>e</w:t>
      </w:r>
      <w:r w:rsidRPr="0093116B">
        <w:t xml:space="preserve"> that </w:t>
      </w:r>
      <w:r w:rsidR="00F233A2">
        <w:t xml:space="preserve">any future </w:t>
      </w:r>
      <w:r w:rsidRPr="0093116B">
        <w:t xml:space="preserve">surveys </w:t>
      </w:r>
      <w:r>
        <w:t>for different NEOM developments</w:t>
      </w:r>
      <w:r w:rsidRPr="0093116B">
        <w:t xml:space="preserve"> </w:t>
      </w:r>
      <w:r w:rsidR="00F233A2">
        <w:t>are</w:t>
      </w:r>
      <w:r w:rsidRPr="0093116B">
        <w:t xml:space="preserve"> undertaken in a consistent manner and to a level that meets or exceeds international best practice</w:t>
      </w:r>
      <w:r>
        <w:t>.</w:t>
      </w:r>
    </w:p>
    <w:p w14:paraId="16ADC363" w14:textId="0CDAC487" w:rsidR="00055EB1" w:rsidRDefault="00055EB1" w:rsidP="00055EB1">
      <w:pPr>
        <w:pStyle w:val="WDBody"/>
      </w:pPr>
      <w:r>
        <w:t>This document has been developed to describe in detail the methods these surveys will adopt</w:t>
      </w:r>
      <w:r w:rsidR="00A45560">
        <w:t>,</w:t>
      </w:r>
      <w:r>
        <w:t xml:space="preserve"> including:</w:t>
      </w:r>
    </w:p>
    <w:p w14:paraId="232D6337" w14:textId="5C290E30" w:rsidR="00055EB1" w:rsidRDefault="00055EB1" w:rsidP="00055EB1">
      <w:pPr>
        <w:pStyle w:val="WDBullets"/>
      </w:pPr>
      <w:r w:rsidRPr="00655D47">
        <w:rPr>
          <w:b/>
          <w:bCs/>
        </w:rPr>
        <w:t>Reference Standards</w:t>
      </w:r>
      <w:r>
        <w:t xml:space="preserve"> to ensure the proposed approach is robust and based on internationally accepted </w:t>
      </w:r>
      <w:proofErr w:type="gramStart"/>
      <w:r>
        <w:t>guidance</w:t>
      </w:r>
      <w:r w:rsidR="00255486">
        <w:t>;</w:t>
      </w:r>
      <w:proofErr w:type="gramEnd"/>
    </w:p>
    <w:p w14:paraId="1F43FBF1" w14:textId="5FE84BAF" w:rsidR="00055EB1" w:rsidRDefault="00055EB1" w:rsidP="00055EB1">
      <w:pPr>
        <w:pStyle w:val="WDBullets"/>
      </w:pPr>
      <w:r>
        <w:rPr>
          <w:b/>
          <w:bCs/>
        </w:rPr>
        <w:t xml:space="preserve">Monitoring </w:t>
      </w:r>
      <w:r w:rsidRPr="0027193B">
        <w:rPr>
          <w:b/>
          <w:bCs/>
        </w:rPr>
        <w:t>Equipment</w:t>
      </w:r>
      <w:r>
        <w:t xml:space="preserve"> </w:t>
      </w:r>
      <w:r w:rsidR="00255486">
        <w:t xml:space="preserve">specification </w:t>
      </w:r>
      <w:r>
        <w:t xml:space="preserve">including details of use and </w:t>
      </w:r>
      <w:proofErr w:type="gramStart"/>
      <w:r>
        <w:t>maintenance</w:t>
      </w:r>
      <w:r w:rsidR="00255486">
        <w:t>;</w:t>
      </w:r>
      <w:r>
        <w:t>.</w:t>
      </w:r>
      <w:proofErr w:type="gramEnd"/>
      <w:r>
        <w:t xml:space="preserve"> </w:t>
      </w:r>
    </w:p>
    <w:p w14:paraId="0E25008E" w14:textId="3D47BBE1" w:rsidR="00055EB1" w:rsidRDefault="00055EB1" w:rsidP="00055EB1">
      <w:pPr>
        <w:pStyle w:val="WDBullets"/>
      </w:pPr>
      <w:r w:rsidRPr="00F97591">
        <w:rPr>
          <w:b/>
          <w:bCs/>
        </w:rPr>
        <w:t>Survey and Monitoring Methods</w:t>
      </w:r>
      <w:r>
        <w:t xml:space="preserve"> to provide a detail</w:t>
      </w:r>
      <w:r w:rsidR="00255486">
        <w:t>ed</w:t>
      </w:r>
      <w:r>
        <w:t xml:space="preserve"> description of </w:t>
      </w:r>
      <w:r w:rsidR="00255486">
        <w:t xml:space="preserve">the </w:t>
      </w:r>
      <w:r>
        <w:t xml:space="preserve">plan to deliver </w:t>
      </w:r>
      <w:r w:rsidR="00255486">
        <w:t>surveys</w:t>
      </w:r>
      <w:r>
        <w:t xml:space="preserve">; </w:t>
      </w:r>
      <w:r w:rsidR="00255486">
        <w:t>and</w:t>
      </w:r>
    </w:p>
    <w:p w14:paraId="3C92FD4F" w14:textId="1D6C9CA8" w:rsidR="00055EB1" w:rsidRDefault="00055EB1" w:rsidP="00055EB1">
      <w:pPr>
        <w:pStyle w:val="WDBullets"/>
      </w:pPr>
      <w:r>
        <w:rPr>
          <w:b/>
          <w:bCs/>
        </w:rPr>
        <w:t xml:space="preserve">Baseline </w:t>
      </w:r>
      <w:r w:rsidRPr="00597AFB">
        <w:rPr>
          <w:b/>
          <w:bCs/>
        </w:rPr>
        <w:t>Reporting</w:t>
      </w:r>
      <w:r>
        <w:t xml:space="preserve"> structure describing how data collected will be processed and presented to form the baseline for future EIAs.</w:t>
      </w:r>
    </w:p>
    <w:p w14:paraId="4AE2D189" w14:textId="77777777" w:rsidR="00055EB1" w:rsidRPr="00055EB1" w:rsidRDefault="00055EB1" w:rsidP="00055EB1">
      <w:pPr>
        <w:pStyle w:val="WDBody"/>
      </w:pPr>
    </w:p>
    <w:p w14:paraId="5F8286B0" w14:textId="77777777" w:rsidR="00825836" w:rsidRPr="00635388" w:rsidRDefault="00825836">
      <w:pPr>
        <w:rPr>
          <w:rFonts w:ascii="Segoe UI" w:hAnsi="Segoe UI"/>
          <w:bCs/>
          <w:color w:val="000000"/>
          <w:sz w:val="20"/>
        </w:rPr>
      </w:pPr>
      <w:r w:rsidRPr="00635388">
        <w:rPr>
          <w:bCs/>
        </w:rPr>
        <w:br w:type="page"/>
      </w:r>
    </w:p>
    <w:p w14:paraId="2D75FB42" w14:textId="4E77B4A4" w:rsidR="00825836" w:rsidRDefault="00272568" w:rsidP="0052387E">
      <w:pPr>
        <w:pStyle w:val="Heading1"/>
        <w:rPr>
          <w:rFonts w:eastAsia="Times New Roman"/>
          <w:lang w:val="en-US"/>
        </w:rPr>
      </w:pPr>
      <w:bookmarkStart w:id="16" w:name="_Toc6231015"/>
      <w:bookmarkStart w:id="17" w:name="_Toc69458012"/>
      <w:r w:rsidRPr="00272568">
        <w:rPr>
          <w:rFonts w:eastAsia="Times New Roman"/>
          <w:lang w:val="en-US"/>
        </w:rPr>
        <w:lastRenderedPageBreak/>
        <w:t>Reference Standards</w:t>
      </w:r>
      <w:bookmarkEnd w:id="16"/>
      <w:bookmarkEnd w:id="17"/>
    </w:p>
    <w:p w14:paraId="6159E1D3" w14:textId="44D7FBA2" w:rsidR="00FA23F2" w:rsidRPr="00FA23F2" w:rsidRDefault="00FA23F2" w:rsidP="00FA23F2">
      <w:pPr>
        <w:pStyle w:val="Heading2"/>
        <w:rPr>
          <w:lang w:val="en-US"/>
        </w:rPr>
      </w:pPr>
      <w:bookmarkStart w:id="18" w:name="_Toc69458013"/>
      <w:r>
        <w:rPr>
          <w:lang w:val="en-US"/>
        </w:rPr>
        <w:t>Best Practice and Guidelines</w:t>
      </w:r>
      <w:bookmarkEnd w:id="18"/>
      <w:r>
        <w:rPr>
          <w:lang w:val="en-US"/>
        </w:rPr>
        <w:t xml:space="preserve"> </w:t>
      </w:r>
    </w:p>
    <w:p w14:paraId="25D37B42" w14:textId="1453E139" w:rsidR="001534AB" w:rsidRDefault="001534AB" w:rsidP="001534AB">
      <w:pPr>
        <w:pStyle w:val="WDBody"/>
      </w:pPr>
      <w:r>
        <w:t>Best practice in conducting MEBS is derived from a variety of national and international standards and guidance, as well as published scientific literature.  This covers aspects of sample/data collection, sample storage/handling, sample analysis, and the presentation and analysis of the data.  Many of these standards inform one another, thus best practice draw</w:t>
      </w:r>
      <w:r w:rsidR="00AF4E85">
        <w:t>s</w:t>
      </w:r>
      <w:r>
        <w:t xml:space="preserve"> from numerous recognised sources including national agencies e.g. the UK Join Nature Conservation Committee (JNCC), US Environment Protection Agency (EPA), Australian Institute for Marine Science (AIMS), multilateral bodes such as International Finance Corporation (IFC) or international organisations such as the European Commission and OSPAR (Oslo and Paris Commission) and ICES (International Council for the Exploration of the Sea)</w:t>
      </w:r>
      <w:r w:rsidRPr="00456311">
        <w:rPr>
          <w:vertAlign w:val="superscript"/>
        </w:rPr>
        <w:footnoteReference w:id="2"/>
      </w:r>
      <w:r w:rsidRPr="00456311">
        <w:rPr>
          <w:vertAlign w:val="superscript"/>
        </w:rPr>
        <w:t xml:space="preserve"> </w:t>
      </w:r>
      <w:r>
        <w:t>and PERSGA</w:t>
      </w:r>
      <w:r w:rsidRPr="00456311">
        <w:rPr>
          <w:vertAlign w:val="superscript"/>
        </w:rPr>
        <w:footnoteReference w:id="3"/>
      </w:r>
      <w:r w:rsidRPr="0084142E">
        <w:t xml:space="preserve">. </w:t>
      </w:r>
      <w:r>
        <w:t xml:space="preserve"> The latter is compiled from a variety international best practice and for the majority of the tasks required for the MEBS will therefore be the default approach.  </w:t>
      </w:r>
    </w:p>
    <w:p w14:paraId="2A675408" w14:textId="5ED01E0A" w:rsidR="00091FBB" w:rsidRDefault="001534AB" w:rsidP="001534AB">
      <w:pPr>
        <w:pStyle w:val="WDBody"/>
      </w:pPr>
      <w:r>
        <w:t>Where additional activities not covered in the PERSGA guidance are required, other standard approaches will be used.  Additional detail is given in relation the specific activities below</w:t>
      </w:r>
      <w:r w:rsidR="00055EB1">
        <w:t>.</w:t>
      </w:r>
    </w:p>
    <w:p w14:paraId="01E18D50" w14:textId="77777777" w:rsidR="00AF4E85" w:rsidRDefault="00AF4E85" w:rsidP="00AF4E85">
      <w:pPr>
        <w:pStyle w:val="Heading2"/>
      </w:pPr>
      <w:bookmarkStart w:id="19" w:name="_Toc69458014"/>
      <w:r>
        <w:t>Consents and approvals</w:t>
      </w:r>
      <w:bookmarkEnd w:id="19"/>
      <w:r>
        <w:t xml:space="preserve"> </w:t>
      </w:r>
    </w:p>
    <w:p w14:paraId="44F6E0EC" w14:textId="77777777" w:rsidR="00AF4E85" w:rsidRDefault="00AF4E85" w:rsidP="00AF4E85">
      <w:pPr>
        <w:pStyle w:val="WDBody"/>
      </w:pPr>
      <w:r>
        <w:t>NEOM will ultimately operate under its own regulatory regime and protocols, as yet to be fully developed.  In the interim, consents and approvals will be obtained as required in line with KSA’s laws and its commitments to multilateral agreements, notably t</w:t>
      </w:r>
      <w:r w:rsidRPr="002F64C1">
        <w:t>he 1992 Regional Convention for the Conservation of the Red Sea and Gulf of Aden (the Jeddah Convention)</w:t>
      </w:r>
      <w:r>
        <w:t xml:space="preserve">.  </w:t>
      </w:r>
    </w:p>
    <w:p w14:paraId="4E1F93AE" w14:textId="77777777" w:rsidR="00AF4E85" w:rsidRDefault="00AF4E85" w:rsidP="00AF4E85">
      <w:pPr>
        <w:pStyle w:val="WDBody"/>
      </w:pPr>
      <w:r>
        <w:t xml:space="preserve">In addition, consistent with the equator principles, the MEBS will comply with international guidelines and best practice in relation to data and reporting, in particular IFC Guidelines.  </w:t>
      </w:r>
    </w:p>
    <w:p w14:paraId="0DB11883" w14:textId="5E442AE9" w:rsidR="001C67BF" w:rsidRDefault="002F67AE" w:rsidP="00F372B7">
      <w:pPr>
        <w:pStyle w:val="Heading1"/>
        <w:rPr>
          <w:lang w:val="en-US"/>
        </w:rPr>
      </w:pPr>
      <w:bookmarkStart w:id="20" w:name="_Toc2782484"/>
      <w:bookmarkStart w:id="21" w:name="_Toc69458015"/>
      <w:r>
        <w:rPr>
          <w:lang w:val="en-US"/>
        </w:rPr>
        <w:lastRenderedPageBreak/>
        <w:t xml:space="preserve">Monitoring </w:t>
      </w:r>
      <w:r w:rsidR="001C67BF">
        <w:rPr>
          <w:lang w:val="en-US"/>
        </w:rPr>
        <w:t>Equipment</w:t>
      </w:r>
      <w:bookmarkEnd w:id="21"/>
    </w:p>
    <w:p w14:paraId="5516EC3C" w14:textId="77777777" w:rsidR="00177039" w:rsidRDefault="00177039" w:rsidP="00177039">
      <w:pPr>
        <w:pStyle w:val="WDBody"/>
      </w:pPr>
      <w:r>
        <w:t xml:space="preserve">The operation, calibration and servicing of monitoring equipment will be undertaken in accordance with manufacturers’ guidance, or best practice, where no guidance is given.  Calibration and maintenance records, including details and actions taken to resolve equipment failures shall be recorded and retained for inspection.  These records shall also contain any supporting information in the event of data gaps caused through fault resolution.  </w:t>
      </w:r>
    </w:p>
    <w:p w14:paraId="6B7198F4" w14:textId="77777777" w:rsidR="00177039" w:rsidRDefault="00177039" w:rsidP="00177039">
      <w:pPr>
        <w:pStyle w:val="WDBody"/>
      </w:pPr>
      <w:r>
        <w:t xml:space="preserve">Instruments and sampling equipment will be physically inspected prior to deployment, and data reviewed on a daily basis, to identify potential faults.  Real time digital data collected in the field (e.g. from sondes) shall be backed up once downloaded from the instrument.  </w:t>
      </w:r>
    </w:p>
    <w:p w14:paraId="0005BCB5" w14:textId="77777777" w:rsidR="00177039" w:rsidRDefault="00177039" w:rsidP="00177039">
      <w:pPr>
        <w:pStyle w:val="WDBody"/>
      </w:pPr>
      <w:r>
        <w:t xml:space="preserve">Precise equipment specifications are not included in most standards, but published guidance includes suggestions for suitable equipment.  A standard representative set of survey equipment for MEBS is set out below.  </w:t>
      </w:r>
    </w:p>
    <w:p w14:paraId="77252D2A" w14:textId="77777777" w:rsidR="00177039" w:rsidRPr="002049F3" w:rsidRDefault="00177039" w:rsidP="00177039">
      <w:pPr>
        <w:pStyle w:val="WDTableTitle"/>
      </w:pPr>
      <w:r w:rsidRPr="002049F3">
        <w:t xml:space="preserve">Table </w:t>
      </w:r>
      <w:fldSimple w:instr=" STYLEREF 1 \s ">
        <w:r>
          <w:rPr>
            <w:noProof/>
          </w:rPr>
          <w:t>1</w:t>
        </w:r>
      </w:fldSimple>
      <w:r w:rsidRPr="002049F3">
        <w:t>.</w:t>
      </w:r>
      <w:fldSimple w:instr=" SEQ Table \* ARABIC \s 1 ">
        <w:r>
          <w:rPr>
            <w:noProof/>
          </w:rPr>
          <w:t>1</w:t>
        </w:r>
      </w:fldSimple>
      <w:r>
        <w:t xml:space="preserve"> </w:t>
      </w:r>
      <w:r>
        <w:tab/>
        <w:t>Standard Equipment for Conducting MEBS</w:t>
      </w:r>
    </w:p>
    <w:tbl>
      <w:tblPr>
        <w:tblStyle w:val="WoodEISUKReportTable"/>
        <w:tblW w:w="9464" w:type="dxa"/>
        <w:tblLook w:val="04A0" w:firstRow="1" w:lastRow="0" w:firstColumn="1" w:lastColumn="0" w:noHBand="0" w:noVBand="1"/>
      </w:tblPr>
      <w:tblGrid>
        <w:gridCol w:w="2409"/>
        <w:gridCol w:w="3936"/>
        <w:gridCol w:w="3119"/>
      </w:tblGrid>
      <w:tr w:rsidR="00177039" w:rsidRPr="00122635" w14:paraId="5218F529" w14:textId="77777777" w:rsidTr="002A33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9" w:type="dxa"/>
          </w:tcPr>
          <w:p w14:paraId="6842940D" w14:textId="77777777" w:rsidR="00177039" w:rsidRPr="00122635" w:rsidRDefault="00177039" w:rsidP="002A3306">
            <w:pPr>
              <w:pStyle w:val="WDTable"/>
              <w:rPr>
                <w:rFonts w:cs="Segoe UI"/>
                <w:szCs w:val="16"/>
              </w:rPr>
            </w:pPr>
            <w:r w:rsidRPr="00122635">
              <w:rPr>
                <w:rFonts w:cs="Segoe UI"/>
                <w:szCs w:val="16"/>
              </w:rPr>
              <w:t>Activity</w:t>
            </w:r>
          </w:p>
        </w:tc>
        <w:tc>
          <w:tcPr>
            <w:tcW w:w="3936" w:type="dxa"/>
          </w:tcPr>
          <w:p w14:paraId="5D369ECC" w14:textId="77777777" w:rsidR="00177039" w:rsidRPr="00122635" w:rsidRDefault="00177039" w:rsidP="002A3306">
            <w:pPr>
              <w:pStyle w:val="WDTable"/>
              <w:cnfStyle w:val="100000000000" w:firstRow="1" w:lastRow="0" w:firstColumn="0" w:lastColumn="0" w:oddVBand="0" w:evenVBand="0" w:oddHBand="0" w:evenHBand="0" w:firstRowFirstColumn="0" w:firstRowLastColumn="0" w:lastRowFirstColumn="0" w:lastRowLastColumn="0"/>
              <w:rPr>
                <w:rFonts w:cs="Segoe UI"/>
                <w:szCs w:val="16"/>
              </w:rPr>
            </w:pPr>
            <w:r w:rsidRPr="00122635">
              <w:rPr>
                <w:rFonts w:cs="Segoe UI"/>
                <w:szCs w:val="16"/>
              </w:rPr>
              <w:t>Equipment</w:t>
            </w:r>
          </w:p>
        </w:tc>
        <w:tc>
          <w:tcPr>
            <w:tcW w:w="3119" w:type="dxa"/>
          </w:tcPr>
          <w:p w14:paraId="1376DD6A" w14:textId="77777777" w:rsidR="00177039" w:rsidRPr="00122635" w:rsidRDefault="00177039" w:rsidP="002A3306">
            <w:pPr>
              <w:pStyle w:val="WDTable"/>
              <w:cnfStyle w:val="100000000000" w:firstRow="1" w:lastRow="0" w:firstColumn="0" w:lastColumn="0" w:oddVBand="0" w:evenVBand="0" w:oddHBand="0" w:evenHBand="0" w:firstRowFirstColumn="0" w:firstRowLastColumn="0" w:lastRowFirstColumn="0" w:lastRowLastColumn="0"/>
              <w:rPr>
                <w:rFonts w:cs="Segoe UI"/>
                <w:szCs w:val="16"/>
              </w:rPr>
            </w:pPr>
            <w:r w:rsidRPr="00122635">
              <w:rPr>
                <w:rFonts w:cs="Segoe UI"/>
                <w:szCs w:val="16"/>
              </w:rPr>
              <w:t>Comment</w:t>
            </w:r>
          </w:p>
        </w:tc>
      </w:tr>
      <w:tr w:rsidR="00177039" w:rsidRPr="00122635" w14:paraId="4FD2C3A7"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28214F1" w14:textId="77777777" w:rsidR="00177039" w:rsidRPr="00122635" w:rsidRDefault="00177039" w:rsidP="002A3306">
            <w:pPr>
              <w:pStyle w:val="WDTable"/>
              <w:rPr>
                <w:rFonts w:cs="Segoe UI"/>
                <w:szCs w:val="16"/>
              </w:rPr>
            </w:pPr>
            <w:r w:rsidRPr="00122635">
              <w:rPr>
                <w:rFonts w:cs="Segoe UI"/>
                <w:szCs w:val="16"/>
              </w:rPr>
              <w:t>Water sampling</w:t>
            </w:r>
          </w:p>
        </w:tc>
        <w:tc>
          <w:tcPr>
            <w:tcW w:w="3936" w:type="dxa"/>
          </w:tcPr>
          <w:p w14:paraId="736A1C5E"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roofErr w:type="spellStart"/>
            <w:r w:rsidRPr="00122635">
              <w:rPr>
                <w:rFonts w:cs="Segoe UI"/>
                <w:szCs w:val="16"/>
              </w:rPr>
              <w:t>Niskin</w:t>
            </w:r>
            <w:proofErr w:type="spellEnd"/>
            <w:r w:rsidRPr="00122635">
              <w:rPr>
                <w:rFonts w:cs="Segoe UI"/>
                <w:szCs w:val="16"/>
              </w:rPr>
              <w:t xml:space="preserve"> bottle</w:t>
            </w:r>
          </w:p>
        </w:tc>
        <w:tc>
          <w:tcPr>
            <w:tcW w:w="3119" w:type="dxa"/>
          </w:tcPr>
          <w:p w14:paraId="48CF328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1.7 l and 5l are the most commonly used</w:t>
            </w:r>
          </w:p>
        </w:tc>
      </w:tr>
      <w:tr w:rsidR="00177039" w:rsidRPr="00122635" w14:paraId="40D95511"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3A8D09B" w14:textId="77777777" w:rsidR="00177039" w:rsidRPr="00122635" w:rsidRDefault="00177039" w:rsidP="002A3306">
            <w:pPr>
              <w:pStyle w:val="WDTable"/>
              <w:rPr>
                <w:rFonts w:cs="Segoe UI"/>
                <w:szCs w:val="16"/>
              </w:rPr>
            </w:pPr>
            <w:r w:rsidRPr="00122635">
              <w:rPr>
                <w:rFonts w:cs="Segoe UI"/>
                <w:szCs w:val="16"/>
              </w:rPr>
              <w:t>Water profiling</w:t>
            </w:r>
          </w:p>
        </w:tc>
        <w:tc>
          <w:tcPr>
            <w:tcW w:w="3936" w:type="dxa"/>
          </w:tcPr>
          <w:p w14:paraId="5E57BC93"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Multi parameter sonde</w:t>
            </w:r>
          </w:p>
        </w:tc>
        <w:tc>
          <w:tcPr>
            <w:tcW w:w="3119" w:type="dxa"/>
          </w:tcPr>
          <w:p w14:paraId="66EA2D50"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YSI EXO2 multi-parameter sonde commonly used</w:t>
            </w:r>
          </w:p>
        </w:tc>
      </w:tr>
      <w:tr w:rsidR="00177039" w:rsidRPr="00122635" w14:paraId="6C32AEB3"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CA14271" w14:textId="77777777" w:rsidR="00177039" w:rsidRPr="00122635" w:rsidRDefault="00177039" w:rsidP="002A3306">
            <w:pPr>
              <w:pStyle w:val="WDTable"/>
              <w:rPr>
                <w:rFonts w:cs="Segoe UI"/>
                <w:szCs w:val="16"/>
              </w:rPr>
            </w:pPr>
            <w:r w:rsidRPr="00122635">
              <w:rPr>
                <w:rFonts w:cs="Segoe UI"/>
                <w:szCs w:val="16"/>
              </w:rPr>
              <w:t>Phytoplankton</w:t>
            </w:r>
          </w:p>
        </w:tc>
        <w:tc>
          <w:tcPr>
            <w:tcW w:w="3936" w:type="dxa"/>
          </w:tcPr>
          <w:p w14:paraId="017EDE05"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Bongo net</w:t>
            </w:r>
          </w:p>
          <w:p w14:paraId="7B1807C1"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Flowmeters</w:t>
            </w:r>
          </w:p>
          <w:p w14:paraId="63EE822E"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roofErr w:type="spellStart"/>
            <w:r w:rsidRPr="00122635">
              <w:rPr>
                <w:rFonts w:cs="Segoe UI"/>
                <w:szCs w:val="16"/>
              </w:rPr>
              <w:t>Lugol’s</w:t>
            </w:r>
            <w:proofErr w:type="spellEnd"/>
            <w:r w:rsidRPr="00122635">
              <w:rPr>
                <w:rFonts w:cs="Segoe UI"/>
                <w:szCs w:val="16"/>
              </w:rPr>
              <w:t xml:space="preserve"> solution (preservative)</w:t>
            </w:r>
          </w:p>
        </w:tc>
        <w:tc>
          <w:tcPr>
            <w:tcW w:w="3119" w:type="dxa"/>
          </w:tcPr>
          <w:p w14:paraId="500508E2"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r>
      <w:tr w:rsidR="00177039" w:rsidRPr="00122635" w14:paraId="43D27CC8"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F64F8BE" w14:textId="77777777" w:rsidR="00177039" w:rsidRPr="00122635" w:rsidRDefault="00177039" w:rsidP="002A3306">
            <w:pPr>
              <w:pStyle w:val="WDTable"/>
              <w:rPr>
                <w:rFonts w:cs="Segoe UI"/>
                <w:szCs w:val="16"/>
              </w:rPr>
            </w:pPr>
            <w:r w:rsidRPr="00122635">
              <w:rPr>
                <w:rFonts w:cs="Segoe UI"/>
                <w:szCs w:val="16"/>
              </w:rPr>
              <w:t>Zooplankton</w:t>
            </w:r>
          </w:p>
        </w:tc>
        <w:tc>
          <w:tcPr>
            <w:tcW w:w="3936" w:type="dxa"/>
          </w:tcPr>
          <w:p w14:paraId="0FA78AA3"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Bongo net</w:t>
            </w:r>
          </w:p>
          <w:p w14:paraId="13165CFE" w14:textId="1595AFD0" w:rsidR="00E1351D" w:rsidRPr="00122635" w:rsidRDefault="00E1351D" w:rsidP="00E1351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 xml:space="preserve">Fixative (4% </w:t>
            </w:r>
            <w:r w:rsidR="002A3306">
              <w:rPr>
                <w:rFonts w:cs="Segoe UI"/>
                <w:szCs w:val="16"/>
              </w:rPr>
              <w:t xml:space="preserve">formaldehyde </w:t>
            </w:r>
            <w:r>
              <w:rPr>
                <w:rFonts w:cs="Segoe UI"/>
                <w:szCs w:val="16"/>
              </w:rPr>
              <w:t xml:space="preserve">or </w:t>
            </w:r>
            <w:proofErr w:type="spellStart"/>
            <w:r>
              <w:rPr>
                <w:rFonts w:cs="Segoe UI"/>
                <w:szCs w:val="16"/>
              </w:rPr>
              <w:t>Lugol’s</w:t>
            </w:r>
            <w:proofErr w:type="spellEnd"/>
            <w:r>
              <w:rPr>
                <w:rFonts w:cs="Segoe UI"/>
                <w:szCs w:val="16"/>
              </w:rPr>
              <w:t xml:space="preserve"> solution)</w:t>
            </w:r>
          </w:p>
          <w:p w14:paraId="6AB1DEE7" w14:textId="3FA3576B" w:rsidR="00177039" w:rsidRPr="00122635" w:rsidRDefault="00E1351D" w:rsidP="00E1351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Preservative (</w:t>
            </w:r>
            <w:proofErr w:type="spellStart"/>
            <w:r w:rsidR="00177039" w:rsidRPr="00122635">
              <w:rPr>
                <w:rFonts w:cs="Segoe UI"/>
                <w:szCs w:val="16"/>
              </w:rPr>
              <w:t>Lugol’s</w:t>
            </w:r>
            <w:proofErr w:type="spellEnd"/>
            <w:r w:rsidR="00177039" w:rsidRPr="00122635">
              <w:rPr>
                <w:rFonts w:cs="Segoe UI"/>
                <w:szCs w:val="16"/>
              </w:rPr>
              <w:t xml:space="preserve"> solution</w:t>
            </w:r>
            <w:r>
              <w:rPr>
                <w:rFonts w:cs="Segoe UI"/>
                <w:szCs w:val="16"/>
              </w:rPr>
              <w:t>)</w:t>
            </w:r>
            <w:r w:rsidR="00250370">
              <w:rPr>
                <w:rFonts w:cs="Segoe UI"/>
                <w:szCs w:val="16"/>
              </w:rPr>
              <w:t xml:space="preserve"> </w:t>
            </w:r>
          </w:p>
        </w:tc>
        <w:tc>
          <w:tcPr>
            <w:tcW w:w="3119" w:type="dxa"/>
          </w:tcPr>
          <w:p w14:paraId="44C139C8" w14:textId="04F9A27A" w:rsidR="00177039" w:rsidRPr="00122635" w:rsidRDefault="002A3306" w:rsidP="00223351">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The small size of the organisms allows for effective fixation with formaldehyde alternatives,</w:t>
            </w:r>
          </w:p>
        </w:tc>
      </w:tr>
      <w:tr w:rsidR="00177039" w:rsidRPr="00122635" w14:paraId="09984CA8"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D09D74C" w14:textId="77777777" w:rsidR="00177039" w:rsidRPr="00122635" w:rsidRDefault="00177039" w:rsidP="002A3306">
            <w:pPr>
              <w:pStyle w:val="WDTable"/>
              <w:rPr>
                <w:rFonts w:cs="Segoe UI"/>
                <w:szCs w:val="16"/>
              </w:rPr>
            </w:pPr>
            <w:r w:rsidRPr="00122635">
              <w:rPr>
                <w:rFonts w:cs="Segoe UI"/>
                <w:szCs w:val="16"/>
              </w:rPr>
              <w:t xml:space="preserve">Sediment sampling: </w:t>
            </w:r>
          </w:p>
          <w:p w14:paraId="7D958C38" w14:textId="77777777" w:rsidR="00177039" w:rsidRPr="00122635" w:rsidRDefault="00177039" w:rsidP="002A3306">
            <w:pPr>
              <w:pStyle w:val="WDTable"/>
              <w:rPr>
                <w:rFonts w:cs="Segoe UI"/>
                <w:szCs w:val="16"/>
              </w:rPr>
            </w:pPr>
            <w:proofErr w:type="spellStart"/>
            <w:r w:rsidRPr="00122635">
              <w:rPr>
                <w:rFonts w:cs="Segoe UI"/>
                <w:szCs w:val="16"/>
              </w:rPr>
              <w:t>Physico</w:t>
            </w:r>
            <w:proofErr w:type="spellEnd"/>
            <w:r w:rsidRPr="00122635">
              <w:rPr>
                <w:rFonts w:cs="Segoe UI"/>
                <w:szCs w:val="16"/>
              </w:rPr>
              <w:t>-chemical parameters</w:t>
            </w:r>
          </w:p>
        </w:tc>
        <w:tc>
          <w:tcPr>
            <w:tcW w:w="3936" w:type="dxa"/>
          </w:tcPr>
          <w:p w14:paraId="6D314C3C"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0.045m2 Van Veen grab</w:t>
            </w:r>
          </w:p>
          <w:p w14:paraId="1746786F"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0.1 m2 Van Veen or Day grab</w:t>
            </w:r>
          </w:p>
          <w:p w14:paraId="0586FDB0"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 xml:space="preserve">Box Corer sampler </w:t>
            </w:r>
          </w:p>
        </w:tc>
        <w:tc>
          <w:tcPr>
            <w:tcW w:w="3119" w:type="dxa"/>
          </w:tcPr>
          <w:p w14:paraId="26BF07BB"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Choice of grab will vary depending on ground conditions, required sample size and vessel.</w:t>
            </w:r>
          </w:p>
        </w:tc>
      </w:tr>
      <w:tr w:rsidR="00177039" w:rsidRPr="00122635" w14:paraId="36FC175C"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2C17397" w14:textId="77777777" w:rsidR="00177039" w:rsidRPr="00122635" w:rsidRDefault="00177039" w:rsidP="002A3306">
            <w:pPr>
              <w:pStyle w:val="WDTable"/>
              <w:rPr>
                <w:rFonts w:cs="Segoe UI"/>
                <w:szCs w:val="16"/>
              </w:rPr>
            </w:pPr>
            <w:r w:rsidRPr="00122635">
              <w:rPr>
                <w:rFonts w:cs="Segoe UI"/>
                <w:szCs w:val="16"/>
              </w:rPr>
              <w:t>Sediment sampling:</w:t>
            </w:r>
          </w:p>
          <w:p w14:paraId="427C484A" w14:textId="77777777" w:rsidR="00177039" w:rsidRPr="00122635" w:rsidRDefault="00177039" w:rsidP="002A3306">
            <w:pPr>
              <w:pStyle w:val="WDTable"/>
              <w:rPr>
                <w:rFonts w:cs="Segoe UI"/>
                <w:szCs w:val="16"/>
              </w:rPr>
            </w:pPr>
            <w:r w:rsidRPr="00122635">
              <w:rPr>
                <w:rFonts w:cs="Segoe UI"/>
                <w:szCs w:val="16"/>
              </w:rPr>
              <w:t>Infauna</w:t>
            </w:r>
          </w:p>
        </w:tc>
        <w:tc>
          <w:tcPr>
            <w:tcW w:w="3936" w:type="dxa"/>
          </w:tcPr>
          <w:p w14:paraId="34EE0FF5"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0.045 - 0.1 m2 Van Veen or Day grab</w:t>
            </w:r>
          </w:p>
          <w:p w14:paraId="2BE6F203"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 xml:space="preserve">Box Corer </w:t>
            </w:r>
          </w:p>
          <w:p w14:paraId="55DF25EB"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0.5 mm mesh sieve/sieving table</w:t>
            </w:r>
          </w:p>
          <w:p w14:paraId="6CBE977D"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Auto sieve</w:t>
            </w:r>
          </w:p>
          <w:p w14:paraId="02F82610" w14:textId="0CBF40A5" w:rsidR="00250370" w:rsidRPr="00122635" w:rsidRDefault="00250370" w:rsidP="00250370">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Fixative (</w:t>
            </w:r>
            <w:r w:rsidR="00E1351D">
              <w:rPr>
                <w:rFonts w:cs="Segoe UI"/>
                <w:szCs w:val="16"/>
              </w:rPr>
              <w:t>4</w:t>
            </w:r>
            <w:r>
              <w:rPr>
                <w:rFonts w:cs="Segoe UI"/>
                <w:szCs w:val="16"/>
              </w:rPr>
              <w:t xml:space="preserve">% </w:t>
            </w:r>
            <w:r w:rsidR="002A3306">
              <w:rPr>
                <w:rFonts w:cs="Segoe UI"/>
                <w:szCs w:val="16"/>
              </w:rPr>
              <w:t xml:space="preserve">formaldehyde </w:t>
            </w:r>
            <w:r>
              <w:rPr>
                <w:rFonts w:cs="Segoe UI"/>
                <w:szCs w:val="16"/>
              </w:rPr>
              <w:t xml:space="preserve"> or alternative)</w:t>
            </w:r>
          </w:p>
          <w:p w14:paraId="67F2205E"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Ethanol (preservative)</w:t>
            </w:r>
          </w:p>
        </w:tc>
        <w:tc>
          <w:tcPr>
            <w:tcW w:w="3119" w:type="dxa"/>
          </w:tcPr>
          <w:p w14:paraId="3F56B973"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Depending on substrate type</w:t>
            </w:r>
          </w:p>
          <w:p w14:paraId="7D155075" w14:textId="77777777" w:rsidR="00895E87" w:rsidRDefault="00895E87"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p w14:paraId="4ED0AFFB" w14:textId="7CE1D5CB" w:rsidR="00895E87" w:rsidRPr="00122635" w:rsidRDefault="00E1351D"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Form</w:t>
            </w:r>
            <w:r w:rsidR="002A3306">
              <w:rPr>
                <w:rFonts w:cs="Segoe UI"/>
                <w:szCs w:val="16"/>
              </w:rPr>
              <w:t>aldehyde</w:t>
            </w:r>
            <w:r>
              <w:rPr>
                <w:rFonts w:cs="Segoe UI"/>
                <w:szCs w:val="16"/>
              </w:rPr>
              <w:t xml:space="preserve"> </w:t>
            </w:r>
            <w:r w:rsidR="00BD608D">
              <w:rPr>
                <w:rFonts w:cs="Segoe UI"/>
                <w:szCs w:val="16"/>
              </w:rPr>
              <w:t xml:space="preserve">alternatives may be used, but it is </w:t>
            </w:r>
            <w:r>
              <w:rPr>
                <w:rFonts w:cs="Segoe UI"/>
                <w:szCs w:val="16"/>
              </w:rPr>
              <w:t>the most reliable fixative and recommended by most stan</w:t>
            </w:r>
            <w:r w:rsidR="00BD608D">
              <w:rPr>
                <w:rFonts w:cs="Segoe UI"/>
                <w:szCs w:val="16"/>
              </w:rPr>
              <w:t xml:space="preserve">dard </w:t>
            </w:r>
            <w:r>
              <w:rPr>
                <w:rFonts w:cs="Segoe UI"/>
                <w:szCs w:val="16"/>
              </w:rPr>
              <w:t xml:space="preserve">methodologies. </w:t>
            </w:r>
          </w:p>
        </w:tc>
      </w:tr>
      <w:tr w:rsidR="00177039" w:rsidRPr="00122635" w14:paraId="278B9881"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01902D6" w14:textId="77777777" w:rsidR="00177039" w:rsidRPr="00122635" w:rsidRDefault="00177039" w:rsidP="002A3306">
            <w:pPr>
              <w:pStyle w:val="WDTable"/>
              <w:rPr>
                <w:rFonts w:cs="Segoe UI"/>
                <w:szCs w:val="16"/>
              </w:rPr>
            </w:pPr>
            <w:r w:rsidRPr="00122635">
              <w:rPr>
                <w:rFonts w:cs="Segoe UI"/>
                <w:szCs w:val="16"/>
              </w:rPr>
              <w:t>Underwater Video</w:t>
            </w:r>
          </w:p>
        </w:tc>
        <w:tc>
          <w:tcPr>
            <w:tcW w:w="3936" w:type="dxa"/>
          </w:tcPr>
          <w:p w14:paraId="5A8E7A1F"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Diver-operated hand-held or head-mounted cameras (SCUBA) YSI EXO2 multi-parameter sonde</w:t>
            </w:r>
          </w:p>
          <w:p w14:paraId="26EFE1D0"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USV/AUV</w:t>
            </w:r>
          </w:p>
          <w:p w14:paraId="5BB6B4E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ROV</w:t>
            </w:r>
          </w:p>
          <w:p w14:paraId="0B47525F"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Drop-down static video</w:t>
            </w:r>
          </w:p>
          <w:p w14:paraId="4A2FC66D"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BRUV/RUV</w:t>
            </w:r>
          </w:p>
        </w:tc>
        <w:tc>
          <w:tcPr>
            <w:tcW w:w="3119" w:type="dxa"/>
          </w:tcPr>
          <w:p w14:paraId="25DC1B1E"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STR ‘</w:t>
            </w:r>
            <w:proofErr w:type="spellStart"/>
            <w:r w:rsidRPr="00122635">
              <w:rPr>
                <w:rFonts w:ascii="Segoe UI" w:hAnsi="Segoe UI" w:cs="Segoe UI"/>
                <w:sz w:val="16"/>
                <w:szCs w:val="16"/>
              </w:rPr>
              <w:t>SeaSpyder</w:t>
            </w:r>
            <w:proofErr w:type="spellEnd"/>
            <w:r w:rsidRPr="00122635">
              <w:rPr>
                <w:rFonts w:ascii="Segoe UI" w:hAnsi="Segoe UI" w:cs="Segoe UI"/>
                <w:sz w:val="16"/>
                <w:szCs w:val="16"/>
              </w:rPr>
              <w:t>; Underwater video system</w:t>
            </w:r>
          </w:p>
          <w:p w14:paraId="0809075F"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STR ‘</w:t>
            </w:r>
            <w:proofErr w:type="spellStart"/>
            <w:r w:rsidRPr="00122635">
              <w:rPr>
                <w:rFonts w:ascii="Segoe UI" w:hAnsi="Segoe UI" w:cs="Segoe UI"/>
                <w:sz w:val="16"/>
                <w:szCs w:val="16"/>
              </w:rPr>
              <w:t>SeaSpyder</w:t>
            </w:r>
            <w:proofErr w:type="spellEnd"/>
            <w:r w:rsidRPr="00122635">
              <w:rPr>
                <w:rFonts w:ascii="Segoe UI" w:hAnsi="Segoe UI" w:cs="Segoe UI"/>
                <w:sz w:val="16"/>
                <w:szCs w:val="16"/>
              </w:rPr>
              <w:t xml:space="preserve"> Nano’ Underwater video system</w:t>
            </w:r>
          </w:p>
          <w:p w14:paraId="5D6C8733"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GoPro Hero4 HD action cameras + LED lamps</w:t>
            </w:r>
          </w:p>
        </w:tc>
      </w:tr>
      <w:tr w:rsidR="00177039" w:rsidRPr="00122635" w14:paraId="1F24E696"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16652B3" w14:textId="77777777" w:rsidR="00177039" w:rsidRPr="00122635" w:rsidRDefault="00177039" w:rsidP="002A3306">
            <w:pPr>
              <w:pStyle w:val="WDTable"/>
              <w:rPr>
                <w:rFonts w:cs="Segoe UI"/>
                <w:szCs w:val="16"/>
              </w:rPr>
            </w:pPr>
            <w:r w:rsidRPr="00122635">
              <w:rPr>
                <w:rFonts w:cs="Segoe UI"/>
                <w:szCs w:val="16"/>
              </w:rPr>
              <w:t>Fish and Epibenthos</w:t>
            </w:r>
          </w:p>
        </w:tc>
        <w:tc>
          <w:tcPr>
            <w:tcW w:w="3936" w:type="dxa"/>
          </w:tcPr>
          <w:p w14:paraId="3D7F5B98"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Beam trawl (2m)</w:t>
            </w:r>
          </w:p>
          <w:p w14:paraId="59E9A365"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Diver-operated hand-held or head-mounted cameras (SCUBA)</w:t>
            </w:r>
          </w:p>
          <w:p w14:paraId="732E36F9"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ROV</w:t>
            </w:r>
          </w:p>
          <w:p w14:paraId="4EFFF421"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lastRenderedPageBreak/>
              <w:t>BRUV/RUV</w:t>
            </w:r>
          </w:p>
        </w:tc>
        <w:tc>
          <w:tcPr>
            <w:tcW w:w="3119" w:type="dxa"/>
          </w:tcPr>
          <w:p w14:paraId="4C4571A0"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lastRenderedPageBreak/>
              <w:t>Beam trawl (2m designed to CEFAS specifications with a 5mm cod end mesh)</w:t>
            </w:r>
          </w:p>
        </w:tc>
      </w:tr>
      <w:tr w:rsidR="00177039" w:rsidRPr="00122635" w14:paraId="755AFFD7"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5AECBB3" w14:textId="77777777" w:rsidR="00177039" w:rsidRPr="00122635" w:rsidRDefault="00177039" w:rsidP="002A3306">
            <w:pPr>
              <w:pStyle w:val="WDTable"/>
              <w:rPr>
                <w:rFonts w:cs="Segoe UI"/>
                <w:szCs w:val="16"/>
              </w:rPr>
            </w:pPr>
            <w:r w:rsidRPr="00122635">
              <w:rPr>
                <w:rFonts w:cs="Segoe UI"/>
                <w:szCs w:val="16"/>
              </w:rPr>
              <w:t>Habitat /Biotope Mapping (inc. Corals and Seagrass)</w:t>
            </w:r>
          </w:p>
        </w:tc>
        <w:tc>
          <w:tcPr>
            <w:tcW w:w="3936" w:type="dxa"/>
          </w:tcPr>
          <w:p w14:paraId="7DC98F9B"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Transect Lines and Quadrats</w:t>
            </w:r>
          </w:p>
          <w:p w14:paraId="389717A2"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Diver-operated hand-held or head-mounted cameras (SCUBA)</w:t>
            </w:r>
          </w:p>
          <w:p w14:paraId="1772721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BRUV/RUV</w:t>
            </w:r>
          </w:p>
          <w:p w14:paraId="1C901787"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roofErr w:type="spellStart"/>
            <w:r w:rsidRPr="00122635">
              <w:rPr>
                <w:rFonts w:cs="Segoe UI"/>
                <w:szCs w:val="16"/>
              </w:rPr>
              <w:t>Sidescan</w:t>
            </w:r>
            <w:proofErr w:type="spellEnd"/>
            <w:r w:rsidRPr="00122635">
              <w:rPr>
                <w:rFonts w:cs="Segoe UI"/>
                <w:szCs w:val="16"/>
              </w:rPr>
              <w:t xml:space="preserve"> sonar</w:t>
            </w:r>
          </w:p>
          <w:p w14:paraId="5EE365D7"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Multibeam echosounder</w:t>
            </w:r>
          </w:p>
          <w:p w14:paraId="54C6D41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roofErr w:type="spellStart"/>
            <w:r w:rsidRPr="00122635">
              <w:rPr>
                <w:rFonts w:cs="Segoe UI"/>
                <w:szCs w:val="16"/>
              </w:rPr>
              <w:t>RoxAnn</w:t>
            </w:r>
            <w:proofErr w:type="spellEnd"/>
          </w:p>
        </w:tc>
        <w:tc>
          <w:tcPr>
            <w:tcW w:w="3119" w:type="dxa"/>
          </w:tcPr>
          <w:p w14:paraId="6AC3D1F8"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Requires ground-truthing with video. Can be supplemented with remote sensing data</w:t>
            </w:r>
          </w:p>
        </w:tc>
      </w:tr>
      <w:tr w:rsidR="00177039" w:rsidRPr="00122635" w14:paraId="6AD5609D"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F15D8C3" w14:textId="77777777" w:rsidR="00177039" w:rsidRPr="00122635" w:rsidRDefault="00177039" w:rsidP="002A3306">
            <w:pPr>
              <w:pStyle w:val="WDTable"/>
              <w:rPr>
                <w:rFonts w:cs="Segoe UI"/>
                <w:szCs w:val="16"/>
              </w:rPr>
            </w:pPr>
            <w:r>
              <w:rPr>
                <w:rFonts w:cs="Segoe UI"/>
                <w:szCs w:val="16"/>
              </w:rPr>
              <w:t xml:space="preserve">Marine </w:t>
            </w:r>
            <w:r w:rsidRPr="00122635">
              <w:rPr>
                <w:rFonts w:cs="Segoe UI"/>
                <w:szCs w:val="16"/>
              </w:rPr>
              <w:t xml:space="preserve">Megafauna </w:t>
            </w:r>
            <w:r>
              <w:rPr>
                <w:rFonts w:cs="Segoe UI"/>
                <w:szCs w:val="16"/>
              </w:rPr>
              <w:t xml:space="preserve">and Birds </w:t>
            </w:r>
          </w:p>
        </w:tc>
        <w:tc>
          <w:tcPr>
            <w:tcW w:w="3936" w:type="dxa"/>
          </w:tcPr>
          <w:p w14:paraId="44297BD8"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High powered binoculars (marine spec)</w:t>
            </w:r>
          </w:p>
          <w:p w14:paraId="0680E07E"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High powered telescopes (coastal watching spec)</w:t>
            </w:r>
          </w:p>
          <w:p w14:paraId="1930FF24"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Range finders</w:t>
            </w:r>
          </w:p>
          <w:p w14:paraId="1E574291" w14:textId="77777777" w:rsidR="00B66E0C" w:rsidRDefault="00B66E0C"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Compass</w:t>
            </w:r>
          </w:p>
          <w:p w14:paraId="14A17D5C" w14:textId="12642D8E" w:rsidR="00B66E0C" w:rsidRDefault="00B66E0C"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Clinometer</w:t>
            </w:r>
          </w:p>
          <w:p w14:paraId="07B8D8DB"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Acoustic sensors</w:t>
            </w:r>
          </w:p>
        </w:tc>
        <w:tc>
          <w:tcPr>
            <w:tcW w:w="3119" w:type="dxa"/>
          </w:tcPr>
          <w:p w14:paraId="5963F5B1"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Coastal and offshore surveys</w:t>
            </w:r>
          </w:p>
        </w:tc>
      </w:tr>
      <w:tr w:rsidR="00177039" w:rsidRPr="00122635" w14:paraId="0763C9CF"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16E854A8" w14:textId="1252ED3E" w:rsidR="00177039" w:rsidRDefault="00177039" w:rsidP="002A3306">
            <w:pPr>
              <w:pStyle w:val="WDTable"/>
              <w:rPr>
                <w:rFonts w:cs="Segoe UI"/>
                <w:szCs w:val="16"/>
              </w:rPr>
            </w:pPr>
            <w:r>
              <w:rPr>
                <w:rFonts w:cs="Segoe UI"/>
                <w:szCs w:val="16"/>
              </w:rPr>
              <w:t>Aerial Surveys</w:t>
            </w:r>
          </w:p>
        </w:tc>
        <w:tc>
          <w:tcPr>
            <w:tcW w:w="3936" w:type="dxa"/>
          </w:tcPr>
          <w:p w14:paraId="6A0480FA" w14:textId="3AC14BCD" w:rsidR="00177039" w:rsidRDefault="00177039" w:rsidP="002A3306">
            <w:pPr>
              <w:pStyle w:val="WDTable"/>
              <w:cnfStyle w:val="000000100000" w:firstRow="0" w:lastRow="0" w:firstColumn="0" w:lastColumn="0" w:oddVBand="0" w:evenVBand="0" w:oddHBand="1" w:evenHBand="0" w:firstRowFirstColumn="0" w:firstRowLastColumn="0" w:lastRowFirstColumn="0" w:lastRowLastColumn="0"/>
            </w:pPr>
            <w:r>
              <w:t>Fixed wing aircraft</w:t>
            </w:r>
            <w:r w:rsidR="00895E87">
              <w:t xml:space="preserve"> where possible</w:t>
            </w:r>
          </w:p>
          <w:p w14:paraId="49D4EFC1" w14:textId="77777777" w:rsidR="00177039" w:rsidRDefault="00177039" w:rsidP="002A3306">
            <w:pPr>
              <w:pStyle w:val="WDTable"/>
              <w:cnfStyle w:val="000000100000" w:firstRow="0" w:lastRow="0" w:firstColumn="0" w:lastColumn="0" w:oddVBand="0" w:evenVBand="0" w:oddHBand="1" w:evenHBand="0" w:firstRowFirstColumn="0" w:firstRowLastColumn="0" w:lastRowFirstColumn="0" w:lastRowLastColumn="0"/>
            </w:pPr>
            <w:r>
              <w:t>High resolution digital cameras (fixed)</w:t>
            </w:r>
          </w:p>
          <w:p w14:paraId="3307303E" w14:textId="580C01D5" w:rsidR="00BD608D" w:rsidRDefault="00255486" w:rsidP="0025548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Marine sp</w:t>
            </w:r>
            <w:r w:rsidR="00895E87">
              <w:rPr>
                <w:rFonts w:cs="Segoe UI"/>
                <w:szCs w:val="16"/>
              </w:rPr>
              <w:t>e</w:t>
            </w:r>
            <w:r>
              <w:rPr>
                <w:rFonts w:cs="Segoe UI"/>
                <w:szCs w:val="16"/>
              </w:rPr>
              <w:t xml:space="preserve">c binoculars </w:t>
            </w:r>
            <w:r w:rsidR="00BD608D">
              <w:rPr>
                <w:rFonts w:cs="Segoe UI"/>
                <w:szCs w:val="16"/>
              </w:rPr>
              <w:t>Clinometer</w:t>
            </w:r>
          </w:p>
          <w:p w14:paraId="2B35CF31" w14:textId="1A77DE77" w:rsidR="00177039" w:rsidRDefault="00895E87" w:rsidP="00BD608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High quality portable digital audio recorder</w:t>
            </w:r>
          </w:p>
        </w:tc>
        <w:tc>
          <w:tcPr>
            <w:tcW w:w="3119" w:type="dxa"/>
          </w:tcPr>
          <w:p w14:paraId="1885B482" w14:textId="77777777" w:rsidR="00BD608D" w:rsidRDefault="00177039" w:rsidP="00895E87">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Flying at high altitudes to avoid disturbances</w:t>
            </w:r>
            <w:r w:rsidR="00895E87">
              <w:rPr>
                <w:rFonts w:cs="Segoe UI"/>
                <w:szCs w:val="16"/>
              </w:rPr>
              <w:t xml:space="preserve">.  </w:t>
            </w:r>
          </w:p>
          <w:p w14:paraId="70E465B8" w14:textId="5C6AAF40" w:rsidR="00BD608D" w:rsidRDefault="00895E87" w:rsidP="00895E87">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 xml:space="preserve">Mid powered binoculars or wider field of view, high powered binoculars to assist accurate identification.  </w:t>
            </w:r>
          </w:p>
          <w:p w14:paraId="4A5A5B0C" w14:textId="051F301E" w:rsidR="00177039" w:rsidRPr="00122635" w:rsidRDefault="00895E87" w:rsidP="00895E87">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Audio recorder to include high quality microphone.  A headset may be appropriate in some situations</w:t>
            </w:r>
            <w:r w:rsidR="00B66E0C">
              <w:rPr>
                <w:rFonts w:cs="Segoe UI"/>
                <w:szCs w:val="16"/>
              </w:rPr>
              <w:t xml:space="preserve">, especially with high ambient </w:t>
            </w:r>
            <w:r w:rsidR="00BD608D">
              <w:rPr>
                <w:rFonts w:cs="Segoe UI"/>
                <w:szCs w:val="16"/>
              </w:rPr>
              <w:t>background</w:t>
            </w:r>
            <w:r w:rsidR="00B66E0C">
              <w:rPr>
                <w:rFonts w:cs="Segoe UI"/>
                <w:szCs w:val="16"/>
              </w:rPr>
              <w:t xml:space="preserve"> noise e.g. a helicopter cabin.</w:t>
            </w:r>
          </w:p>
        </w:tc>
      </w:tr>
    </w:tbl>
    <w:p w14:paraId="1A41B3A3" w14:textId="77777777" w:rsidR="00177039" w:rsidRPr="00657218" w:rsidRDefault="00177039" w:rsidP="00177039">
      <w:pPr>
        <w:pStyle w:val="WDBody"/>
      </w:pPr>
    </w:p>
    <w:p w14:paraId="782F0EB9" w14:textId="77777777" w:rsidR="00177039" w:rsidRPr="00177039" w:rsidRDefault="00177039" w:rsidP="00177039">
      <w:pPr>
        <w:pStyle w:val="WDIntro"/>
        <w:rPr>
          <w:lang w:val="en-US"/>
        </w:rPr>
      </w:pPr>
    </w:p>
    <w:p w14:paraId="22F0351E" w14:textId="5299A38D" w:rsidR="008E6984" w:rsidRDefault="008E6984" w:rsidP="008E6984">
      <w:pPr>
        <w:pStyle w:val="Heading1"/>
      </w:pPr>
      <w:bookmarkStart w:id="22" w:name="_Toc69458016"/>
      <w:r w:rsidRPr="00F97591">
        <w:lastRenderedPageBreak/>
        <w:t>Survey and Monitoring Methods</w:t>
      </w:r>
      <w:bookmarkEnd w:id="22"/>
    </w:p>
    <w:p w14:paraId="6B242ADE" w14:textId="2FBCF312" w:rsidR="00CE7B9D" w:rsidRDefault="00CE7B9D" w:rsidP="00CE7B9D">
      <w:pPr>
        <w:pStyle w:val="Heading2"/>
      </w:pPr>
      <w:bookmarkStart w:id="23" w:name="_Toc69458017"/>
      <w:r>
        <w:t>Water sampling</w:t>
      </w:r>
      <w:bookmarkEnd w:id="23"/>
    </w:p>
    <w:p w14:paraId="7E5CC58F" w14:textId="77777777" w:rsidR="00CE7B9D" w:rsidRDefault="00CE7B9D" w:rsidP="00CE7B9D">
      <w:pPr>
        <w:pStyle w:val="WDBody"/>
      </w:pPr>
      <w:r w:rsidRPr="0084142E">
        <w:t xml:space="preserve">Water samples will be acquired from pre-determined depths (surface, mid-column, or bottom) using either a 1.7L or 5L </w:t>
      </w:r>
      <w:proofErr w:type="spellStart"/>
      <w:r w:rsidRPr="0084142E">
        <w:t>Niskin</w:t>
      </w:r>
      <w:proofErr w:type="spellEnd"/>
      <w:r w:rsidRPr="0084142E">
        <w:t xml:space="preserve"> water sampler. </w:t>
      </w:r>
      <w:r>
        <w:t xml:space="preserve"> </w:t>
      </w:r>
      <w:r w:rsidRPr="0084142E">
        <w:t>After collection, the samples will then be placed inside a cool-box or refrigerator in efforts to prevent degradation and exposure to sunlight penetration</w:t>
      </w:r>
      <w:r>
        <w:t xml:space="preserve"> prior to laboratory consignment. </w:t>
      </w:r>
    </w:p>
    <w:p w14:paraId="484853A8" w14:textId="0D04DCC6" w:rsidR="00CE7B9D" w:rsidRDefault="00CE7B9D" w:rsidP="00CE7B9D">
      <w:pPr>
        <w:pStyle w:val="Heading2"/>
      </w:pPr>
      <w:bookmarkStart w:id="24" w:name="_Toc69458018"/>
      <w:r>
        <w:t>Water Profiling</w:t>
      </w:r>
      <w:bookmarkEnd w:id="24"/>
    </w:p>
    <w:p w14:paraId="29BB73BC" w14:textId="77777777" w:rsidR="00CE7B9D" w:rsidRDefault="00CE7B9D" w:rsidP="00CE7B9D">
      <w:pPr>
        <w:pStyle w:val="WDBody"/>
      </w:pPr>
      <w:r>
        <w:t xml:space="preserve">Water profiles may be acquired in conjunction with the water sample operations using a multi-parameter probe/sonde.  Any sonde(s) in use will have been manufacturer calibrated within 12 months of the survey and sensors prone to drift will be checked (and if necessary recalibrated) at least twice weekly.  </w:t>
      </w:r>
    </w:p>
    <w:p w14:paraId="1753CDAA" w14:textId="77777777" w:rsidR="00CE7B9D" w:rsidRDefault="00CE7B9D" w:rsidP="00CE7B9D">
      <w:pPr>
        <w:pStyle w:val="WDBody"/>
      </w:pPr>
      <w:r>
        <w:t>The physical seawater parameters to be measured include:</w:t>
      </w:r>
    </w:p>
    <w:p w14:paraId="0505A87C" w14:textId="77777777" w:rsidR="00CE7B9D" w:rsidRDefault="00CE7B9D" w:rsidP="00CE7B9D">
      <w:pPr>
        <w:pStyle w:val="WDBullets"/>
      </w:pPr>
      <w:r>
        <w:t>Depth;</w:t>
      </w:r>
    </w:p>
    <w:p w14:paraId="451D5997" w14:textId="77777777" w:rsidR="00CE7B9D" w:rsidRDefault="00CE7B9D" w:rsidP="00CE7B9D">
      <w:pPr>
        <w:pStyle w:val="WDBullets"/>
      </w:pPr>
      <w:r>
        <w:t>Temperature (ºC);</w:t>
      </w:r>
    </w:p>
    <w:p w14:paraId="1202C6B5" w14:textId="77777777" w:rsidR="00CE7B9D" w:rsidRDefault="00CE7B9D" w:rsidP="00CE7B9D">
      <w:pPr>
        <w:pStyle w:val="WDBullets"/>
      </w:pPr>
      <w:r>
        <w:t>Salinity;</w:t>
      </w:r>
    </w:p>
    <w:p w14:paraId="0F8DC0DC" w14:textId="77777777" w:rsidR="00CE7B9D" w:rsidRDefault="00CE7B9D" w:rsidP="00CE7B9D">
      <w:pPr>
        <w:pStyle w:val="WDBullets"/>
      </w:pPr>
      <w:r>
        <w:t>Dissolved Oxygen (DO);</w:t>
      </w:r>
    </w:p>
    <w:p w14:paraId="4C2C66C0" w14:textId="77777777" w:rsidR="00CE7B9D" w:rsidRDefault="00CE7B9D" w:rsidP="00CE7B9D">
      <w:pPr>
        <w:pStyle w:val="WDBullets"/>
      </w:pPr>
      <w:r>
        <w:t>pH;</w:t>
      </w:r>
    </w:p>
    <w:p w14:paraId="5E6EC1BE" w14:textId="77777777" w:rsidR="00CE7B9D" w:rsidRDefault="00CE7B9D" w:rsidP="00CE7B9D">
      <w:pPr>
        <w:pStyle w:val="WDBullets"/>
      </w:pPr>
      <w:r>
        <w:t>Electrical conductivity (SPC); and</w:t>
      </w:r>
    </w:p>
    <w:p w14:paraId="5A0B88BD" w14:textId="77777777" w:rsidR="00CE7B9D" w:rsidRDefault="00CE7B9D" w:rsidP="00CE7B9D">
      <w:pPr>
        <w:pStyle w:val="WDBullets"/>
      </w:pPr>
      <w:r>
        <w:t>Turbidity (NTU).</w:t>
      </w:r>
    </w:p>
    <w:p w14:paraId="64CDE744" w14:textId="40F3EE1A" w:rsidR="00CE7B9D" w:rsidRDefault="00CE7B9D" w:rsidP="00CE7B9D">
      <w:pPr>
        <w:pStyle w:val="Heading2"/>
      </w:pPr>
      <w:bookmarkStart w:id="25" w:name="_Toc69458019"/>
      <w:r>
        <w:t>Plankton Trawls</w:t>
      </w:r>
      <w:bookmarkEnd w:id="25"/>
    </w:p>
    <w:p w14:paraId="1F1E70B2" w14:textId="15EFCDE6" w:rsidR="00CE7B9D" w:rsidRDefault="00CE7B9D" w:rsidP="00CE7B9D">
      <w:pPr>
        <w:pStyle w:val="WDBody"/>
      </w:pPr>
      <w:r>
        <w:t xml:space="preserve">Standard phytoplankton samples are </w:t>
      </w:r>
      <w:r w:rsidR="002A3306">
        <w:t xml:space="preserve">taken </w:t>
      </w:r>
      <w:r>
        <w:t xml:space="preserve">by vertical trawl through </w:t>
      </w:r>
      <w:r w:rsidR="002A3306">
        <w:t xml:space="preserve">the </w:t>
      </w:r>
      <w:r>
        <w:t xml:space="preserve">water column, drawn from mid-column to </w:t>
      </w:r>
      <w:r w:rsidR="002A3306">
        <w:t xml:space="preserve">the water </w:t>
      </w:r>
      <w:r>
        <w:t xml:space="preserve">surface.  A 50 </w:t>
      </w:r>
      <w:r>
        <w:rPr>
          <w:rFonts w:cs="Segoe UI"/>
        </w:rPr>
        <w:t>µ</w:t>
      </w:r>
      <w:r>
        <w:t>m bongo net is typically deployed tw</w:t>
      </w:r>
      <w:r w:rsidR="002A3306">
        <w:t xml:space="preserve">ice </w:t>
      </w:r>
      <w:r>
        <w:t xml:space="preserve">to account for patchiness in the distribution of organisms.  The starting depth of the tow is recorded to allow calculation of the water volume sampled.  The samples are transferred into opaque containers and fixed with 2% </w:t>
      </w:r>
      <w:proofErr w:type="spellStart"/>
      <w:r>
        <w:t>Lugol’s</w:t>
      </w:r>
      <w:proofErr w:type="spellEnd"/>
      <w:r>
        <w:t xml:space="preserve"> solution for subsequent analysis, as recommended by the UK Marine Biological Association (MBA) and others.  </w:t>
      </w:r>
      <w:r w:rsidR="00216A39">
        <w:t xml:space="preserve">The time of day for sample collection should be </w:t>
      </w:r>
      <w:r w:rsidR="00194F6C">
        <w:t>standardised</w:t>
      </w:r>
      <w:r w:rsidR="00216A39">
        <w:t xml:space="preserve"> to al</w:t>
      </w:r>
      <w:r w:rsidR="00194F6C">
        <w:t>low</w:t>
      </w:r>
      <w:r w:rsidR="00216A39">
        <w:t xml:space="preserve"> for vertical migration patterns.</w:t>
      </w:r>
    </w:p>
    <w:p w14:paraId="69023C07" w14:textId="2A77866E" w:rsidR="00CE7B9D" w:rsidRDefault="00CE7B9D" w:rsidP="00CE7B9D">
      <w:pPr>
        <w:pStyle w:val="WDBody"/>
      </w:pPr>
      <w:r>
        <w:t>Zooplankton samples can be collected by either vertical or horizontal trawl</w:t>
      </w:r>
      <w:r w:rsidR="002A3306">
        <w:t>s</w:t>
      </w:r>
      <w:r>
        <w:t xml:space="preserve">.  The samples are </w:t>
      </w:r>
      <w:r w:rsidR="002A3306">
        <w:t xml:space="preserve">typically </w:t>
      </w:r>
      <w:r>
        <w:t xml:space="preserve">collected in a 120-200 </w:t>
      </w:r>
      <w:proofErr w:type="spellStart"/>
      <w:r>
        <w:t>μm</w:t>
      </w:r>
      <w:proofErr w:type="spellEnd"/>
      <w:r>
        <w:t xml:space="preserve"> mesh </w:t>
      </w:r>
      <w:r w:rsidR="002A3306">
        <w:t>net</w:t>
      </w:r>
      <w:r>
        <w:t>.  For horizontal trawls</w:t>
      </w:r>
      <w:r w:rsidR="002A3306">
        <w:t>,</w:t>
      </w:r>
      <w:r>
        <w:t xml:space="preserve"> a flow-meter is attached to calculate volume of water sampled.  </w:t>
      </w:r>
      <w:r w:rsidR="00194F6C">
        <w:t>As with phytoplankton, t</w:t>
      </w:r>
      <w:r w:rsidR="00216A39">
        <w:t xml:space="preserve">he time of day for sample collection should be </w:t>
      </w:r>
      <w:r w:rsidR="00194F6C">
        <w:t>standardised</w:t>
      </w:r>
      <w:r w:rsidR="00216A39">
        <w:t xml:space="preserve"> to al</w:t>
      </w:r>
      <w:r w:rsidR="00194F6C">
        <w:t>low</w:t>
      </w:r>
      <w:r w:rsidR="00216A39">
        <w:t xml:space="preserve"> for vertical migration patterns. </w:t>
      </w:r>
      <w:r>
        <w:t xml:space="preserve">Upon recovery, the samples are put into opaque containers and fixed in 10% formal saline (4% formaldehyde) solution or </w:t>
      </w:r>
      <w:proofErr w:type="spellStart"/>
      <w:r>
        <w:t>Lugol’s</w:t>
      </w:r>
      <w:proofErr w:type="spellEnd"/>
      <w:r>
        <w:t xml:space="preserve"> solution.  While many older standard methods suggest formalin, </w:t>
      </w:r>
      <w:proofErr w:type="spellStart"/>
      <w:r>
        <w:t>Lugol’s</w:t>
      </w:r>
      <w:proofErr w:type="spellEnd"/>
      <w:r>
        <w:t xml:space="preserve"> solution is equally effective and much less hazardous/toxic.  </w:t>
      </w:r>
    </w:p>
    <w:p w14:paraId="3989956C" w14:textId="70908335" w:rsidR="00216A39" w:rsidRPr="00CE7B9D" w:rsidRDefault="00216A39" w:rsidP="00CE7B9D">
      <w:pPr>
        <w:pStyle w:val="WDBody"/>
      </w:pPr>
      <w:r>
        <w:t xml:space="preserve">Plankton surveys conducted in spring will include meroplanktonic stages of </w:t>
      </w:r>
      <w:r w:rsidR="00194F6C">
        <w:t xml:space="preserve">benthos and </w:t>
      </w:r>
      <w:proofErr w:type="gramStart"/>
      <w:r w:rsidR="00194F6C">
        <w:t>fish, and</w:t>
      </w:r>
      <w:proofErr w:type="gramEnd"/>
      <w:r w:rsidR="00194F6C">
        <w:t xml:space="preserve"> may thus yield additional information compared to samples collected at other times. </w:t>
      </w:r>
    </w:p>
    <w:p w14:paraId="35839459" w14:textId="4A3129F8" w:rsidR="00CE7B9D" w:rsidRDefault="00CE7B9D" w:rsidP="00CE7B9D">
      <w:pPr>
        <w:pStyle w:val="Heading2"/>
      </w:pPr>
      <w:r>
        <w:lastRenderedPageBreak/>
        <w:t xml:space="preserve"> </w:t>
      </w:r>
      <w:bookmarkStart w:id="26" w:name="_Toc69458020"/>
      <w:r>
        <w:t>Sediment Quality and Infauna (Grabs)</w:t>
      </w:r>
      <w:bookmarkEnd w:id="26"/>
    </w:p>
    <w:p w14:paraId="6438773B" w14:textId="77777777" w:rsidR="00CE7B9D" w:rsidRDefault="00CE7B9D" w:rsidP="00CE7B9D">
      <w:pPr>
        <w:pStyle w:val="WDBody"/>
      </w:pPr>
      <w:r>
        <w:t>Sediment samples will be acquired using either a 0.1m</w:t>
      </w:r>
      <w:r w:rsidRPr="001D5823">
        <w:rPr>
          <w:vertAlign w:val="superscript"/>
        </w:rPr>
        <w:t>2</w:t>
      </w:r>
      <w:r>
        <w:t xml:space="preserve"> Van Veen or Day grab, or box corer if conditions require.  Subsamples will be taken into appropriately washed containers and placed into cold storage (nominally at 4</w:t>
      </w:r>
      <w:r>
        <w:rPr>
          <w:rFonts w:cs="Segoe UI"/>
        </w:rPr>
        <w:t>°</w:t>
      </w:r>
      <w:r>
        <w:t xml:space="preserve">C </w:t>
      </w:r>
      <w:r>
        <w:rPr>
          <w:rFonts w:cs="Segoe UI"/>
        </w:rPr>
        <w:t xml:space="preserve">± </w:t>
      </w:r>
      <w:r>
        <w:t>2</w:t>
      </w:r>
      <w:r>
        <w:rPr>
          <w:rFonts w:cs="Segoe UI"/>
        </w:rPr>
        <w:t>°)</w:t>
      </w:r>
      <w:r>
        <w:t xml:space="preserve"> as per US EPA guidance, prior to analysis.  Samples may be frozen, though those subsamples required for PSA should not be to avoid altering the fine sediment structure through the formation of ice crystals.  </w:t>
      </w:r>
    </w:p>
    <w:p w14:paraId="65430B37" w14:textId="6880200F" w:rsidR="00CE7B9D" w:rsidRDefault="00CE7B9D" w:rsidP="00CE7B9D">
      <w:pPr>
        <w:pStyle w:val="WDBody"/>
      </w:pPr>
      <w:r>
        <w:t xml:space="preserve">Replicate sediment samples will be acquired for </w:t>
      </w:r>
      <w:proofErr w:type="spellStart"/>
      <w:r>
        <w:t>infaunal</w:t>
      </w:r>
      <w:proofErr w:type="spellEnd"/>
      <w:r>
        <w:t xml:space="preserve"> analysis, according to best practice guidance e.g. that published by JNCC</w:t>
      </w:r>
      <w:r>
        <w:rPr>
          <w:rStyle w:val="FootnoteReference"/>
        </w:rPr>
        <w:footnoteReference w:id="4"/>
      </w:r>
      <w:r>
        <w:t xml:space="preserve"> and CEFAS</w:t>
      </w:r>
      <w:r>
        <w:rPr>
          <w:rStyle w:val="FootnoteReference"/>
        </w:rPr>
        <w:footnoteReference w:id="5"/>
      </w:r>
      <w:r>
        <w:t xml:space="preserve"> in the UK (PERSGA guidance does not cover subtidal grab sampling). The undisturbed sample will be photographed, prior to sieving through a 0.5 mm mesh.  The retained material will be fixed in </w:t>
      </w:r>
      <w:r w:rsidR="00E1351D">
        <w:t>4% formalin solution</w:t>
      </w:r>
      <w:r>
        <w:t xml:space="preserve">, prior to being transferred to ethanol preservative for storage and transportation to the laboratory.  </w:t>
      </w:r>
      <w:r w:rsidR="00E1351D">
        <w:t>Formal</w:t>
      </w:r>
      <w:r w:rsidR="002A3306">
        <w:t xml:space="preserve">dehyde </w:t>
      </w:r>
      <w:r w:rsidR="00E1351D">
        <w:t xml:space="preserve">alternatives may be used, though most are less effective and some require further sample processing. Ethanol may distort the tissues of soft-bodied animals making identification more difficult. Commercial preparations such as </w:t>
      </w:r>
      <w:proofErr w:type="spellStart"/>
      <w:r w:rsidR="00E1351D">
        <w:rPr>
          <w:rFonts w:cs="Segoe UI"/>
          <w:szCs w:val="16"/>
        </w:rPr>
        <w:t>NOTOXhisto</w:t>
      </w:r>
      <w:proofErr w:type="spellEnd"/>
      <w:r w:rsidR="00E1351D">
        <w:rPr>
          <w:rFonts w:cs="Segoe UI"/>
          <w:szCs w:val="16"/>
        </w:rPr>
        <w:t xml:space="preserve"> are affected by the presence of matrix material, meaning it works better on picked samples.  </w:t>
      </w:r>
      <w:r w:rsidR="00BD608D">
        <w:rPr>
          <w:rFonts w:cs="Segoe UI"/>
          <w:szCs w:val="16"/>
        </w:rPr>
        <w:t>DESS</w:t>
      </w:r>
      <w:r w:rsidR="00BD608D">
        <w:rPr>
          <w:rStyle w:val="FootnoteReference"/>
          <w:rFonts w:cs="Segoe UI"/>
          <w:szCs w:val="16"/>
        </w:rPr>
        <w:footnoteReference w:id="6"/>
      </w:r>
      <w:r w:rsidR="00BD608D">
        <w:rPr>
          <w:rFonts w:cs="Segoe UI"/>
          <w:szCs w:val="16"/>
        </w:rPr>
        <w:t xml:space="preserve">  is also a possible alternative, but f</w:t>
      </w:r>
      <w:r w:rsidR="00E1351D">
        <w:rPr>
          <w:rFonts w:cs="Segoe UI"/>
          <w:szCs w:val="16"/>
        </w:rPr>
        <w:t>ormal</w:t>
      </w:r>
      <w:r w:rsidR="002A3306">
        <w:rPr>
          <w:rFonts w:cs="Segoe UI"/>
          <w:szCs w:val="16"/>
        </w:rPr>
        <w:t xml:space="preserve">dehyde </w:t>
      </w:r>
      <w:r w:rsidR="00E1351D">
        <w:rPr>
          <w:rFonts w:cs="Segoe UI"/>
          <w:szCs w:val="16"/>
        </w:rPr>
        <w:t xml:space="preserve">remains the most practical fixative for </w:t>
      </w:r>
      <w:r w:rsidR="002A3306">
        <w:rPr>
          <w:rFonts w:cs="Segoe UI"/>
          <w:szCs w:val="16"/>
        </w:rPr>
        <w:t xml:space="preserve">benthic samples </w:t>
      </w:r>
      <w:r w:rsidR="00E1351D">
        <w:rPr>
          <w:rFonts w:cs="Segoe UI"/>
          <w:szCs w:val="16"/>
        </w:rPr>
        <w:t>and is the one recommended by most standard methodologies</w:t>
      </w:r>
      <w:r w:rsidR="00E1351D">
        <w:t xml:space="preserve">.   </w:t>
      </w:r>
    </w:p>
    <w:p w14:paraId="581235B0" w14:textId="77777777" w:rsidR="00CE7B9D" w:rsidRDefault="00CE7B9D" w:rsidP="00CE7B9D">
      <w:pPr>
        <w:pStyle w:val="WDBody"/>
      </w:pPr>
      <w:r>
        <w:t xml:space="preserve">Deck logs will be kept of all samples, detailing the sample name / number, fix number / geographical location, sediment type, sediment colouration (Munsell chart), layering and depth / volume of sample.  Samples will undergo rigorous QA / QC checks with all samples retained photographed.  </w:t>
      </w:r>
    </w:p>
    <w:p w14:paraId="2FF62F4E" w14:textId="75D382A1" w:rsidR="00B322D6" w:rsidRDefault="00B322D6" w:rsidP="00CE7B9D">
      <w:pPr>
        <w:pStyle w:val="WDBody"/>
      </w:pPr>
      <w:r w:rsidRPr="00B322D6">
        <w:t xml:space="preserve">Other than actually constructing a curve and extrapolating it to estimate total number of species, there’s not much to say. It would also require all individuals to be identified to functional species level, which with infauna from areas where there is a paucity of historical data is  a very big ask and would take a dedicated team of taxonomists a significant time to undertake.  It would probably also require the input form international </w:t>
      </w:r>
      <w:proofErr w:type="gramStart"/>
      <w:r w:rsidRPr="00B322D6">
        <w:t>taxonomic  experts</w:t>
      </w:r>
      <w:proofErr w:type="gramEnd"/>
      <w:r w:rsidRPr="00B322D6">
        <w:t xml:space="preserve"> e.g. BMNH or Smithsonian, depending on where the expertise currently resides.   I’ve used this approach before in the Gulf, and it works, but its time consuming and expensive.</w:t>
      </w:r>
    </w:p>
    <w:p w14:paraId="11061D53" w14:textId="42307BEC" w:rsidR="00CE7B9D" w:rsidRDefault="00CE7B9D" w:rsidP="00CE7B9D">
      <w:pPr>
        <w:pStyle w:val="Heading2"/>
      </w:pPr>
      <w:bookmarkStart w:id="27" w:name="_Toc69458021"/>
      <w:r>
        <w:t>Fish and Epibenthos</w:t>
      </w:r>
      <w:bookmarkEnd w:id="27"/>
    </w:p>
    <w:p w14:paraId="1C148E58" w14:textId="77777777" w:rsidR="00CE7B9D" w:rsidRDefault="00CE7B9D" w:rsidP="00CE7B9D">
      <w:pPr>
        <w:pStyle w:val="WDBody"/>
      </w:pPr>
      <w:r>
        <w:t xml:space="preserve">The rocky shores of the PERSGA region are highly dynamic and range between flat terraces and vertical cliffs.  These hard substrate habitats tend to support a high diversity of fish and epibenthic species and communities are variable due to the range of exposures and other environmental conditions.  </w:t>
      </w:r>
    </w:p>
    <w:p w14:paraId="5BA57B9E" w14:textId="77777777" w:rsidR="00CE7B9D" w:rsidRDefault="00CE7B9D" w:rsidP="00CE7B9D">
      <w:pPr>
        <w:pStyle w:val="WDBody"/>
      </w:pPr>
      <w:r w:rsidRPr="002015F9">
        <w:t xml:space="preserve">A variety of techniques </w:t>
      </w:r>
      <w:r>
        <w:t>are</w:t>
      </w:r>
      <w:r w:rsidRPr="002015F9">
        <w:t xml:space="preserve"> used to establish baseline data for fish and epibenthos</w:t>
      </w:r>
      <w:r>
        <w:t xml:space="preserve">.  These include </w:t>
      </w:r>
      <w:proofErr w:type="spellStart"/>
      <w:r>
        <w:t>include</w:t>
      </w:r>
      <w:proofErr w:type="spellEnd"/>
      <w:r>
        <w:t xml:space="preserve"> scientific beam trawls (2m designed to CEFAS specifications with a 5mm cod end mesh), subtidal video surveys and still photography to collect data of benthic communities and images of the seabed, netting and trawling surveys, commercial fishing observational surveys and questionnaires and intertidal surveys to undertake biotope mapping.  Also, </w:t>
      </w:r>
      <w:r w:rsidRPr="002015F9">
        <w:t>SCUBA diving surveys</w:t>
      </w:r>
      <w:r>
        <w:t xml:space="preserve"> to undertake in situ recording and still and video photography and </w:t>
      </w:r>
      <w:r w:rsidRPr="002015F9">
        <w:t xml:space="preserve">Baited or </w:t>
      </w:r>
      <w:proofErr w:type="spellStart"/>
      <w:r w:rsidRPr="002015F9">
        <w:t>Unbaited</w:t>
      </w:r>
      <w:proofErr w:type="spellEnd"/>
      <w:r w:rsidRPr="002015F9">
        <w:t xml:space="preserve"> Remote Underwater Video</w:t>
      </w:r>
      <w:r>
        <w:t xml:space="preserve"> (</w:t>
      </w:r>
      <w:r w:rsidRPr="002015F9">
        <w:t>BRUV/RUV</w:t>
      </w:r>
      <w:r>
        <w:t>)</w:t>
      </w:r>
      <w:r w:rsidRPr="002015F9">
        <w:t xml:space="preserve"> recordings</w:t>
      </w:r>
      <w:r>
        <w:t xml:space="preserve">.  </w:t>
      </w:r>
    </w:p>
    <w:p w14:paraId="76843855" w14:textId="64863484" w:rsidR="00CE7B9D" w:rsidRDefault="00CE7B9D" w:rsidP="00CE7B9D">
      <w:pPr>
        <w:pStyle w:val="WDBody"/>
      </w:pPr>
      <w:r>
        <w:lastRenderedPageBreak/>
        <w:t xml:space="preserve">For beam trawls the towing speed should be around 1.5 knots over the ground, the duration or length or the tow is normally either 500m or 10 minutes.  A field </w:t>
      </w:r>
      <w:proofErr w:type="gramStart"/>
      <w:r>
        <w:t>log book</w:t>
      </w:r>
      <w:proofErr w:type="gramEnd"/>
      <w:r>
        <w:t xml:space="preserve"> and trawl sample log will be maintained and this should be retained for 4 years from </w:t>
      </w:r>
      <w:r w:rsidR="00F65240">
        <w:t>the end of the survey</w:t>
      </w:r>
      <w:r>
        <w:t xml:space="preserve">, unless otherwise stated by the client.  </w:t>
      </w:r>
    </w:p>
    <w:p w14:paraId="13D6073B" w14:textId="64C9D0C4" w:rsidR="00CE7B9D" w:rsidRDefault="00CE7B9D" w:rsidP="00CE7B9D">
      <w:pPr>
        <w:pStyle w:val="WDBody"/>
      </w:pPr>
      <w:r>
        <w:t xml:space="preserve">Following the </w:t>
      </w:r>
      <w:proofErr w:type="spellStart"/>
      <w:r>
        <w:t>ReefCheck</w:t>
      </w:r>
      <w:proofErr w:type="spellEnd"/>
      <w:r>
        <w:t xml:space="preserve"> methodology, fish are surveyed </w:t>
      </w:r>
      <w:r w:rsidR="00F65240">
        <w:t xml:space="preserve">by SCUBA diving </w:t>
      </w:r>
      <w:r>
        <w:t>along four replicate 20m long x 5m wide belt transects (100m</w:t>
      </w:r>
      <w:r w:rsidRPr="00922557">
        <w:rPr>
          <w:vertAlign w:val="superscript"/>
        </w:rPr>
        <w:t>2</w:t>
      </w:r>
      <w:r>
        <w:t xml:space="preserve">) centred on transects at two depth ranges (7-12 or 2-6m) within each survey site.  Further details on the </w:t>
      </w:r>
      <w:proofErr w:type="spellStart"/>
      <w:r>
        <w:t>ReefCheck</w:t>
      </w:r>
      <w:proofErr w:type="spellEnd"/>
      <w:r>
        <w:t xml:space="preserve"> method, identification guides and photographs of target species are provided at www.reefcheck.org.  </w:t>
      </w:r>
    </w:p>
    <w:p w14:paraId="14E01563" w14:textId="41999C97" w:rsidR="00CE7B9D" w:rsidRDefault="00CE7B9D" w:rsidP="00CE7B9D">
      <w:pPr>
        <w:pStyle w:val="WDBody"/>
      </w:pPr>
      <w:r w:rsidRPr="002B1251">
        <w:t xml:space="preserve">BRUV is a system </w:t>
      </w:r>
      <w:r>
        <w:t xml:space="preserve">that attracts </w:t>
      </w:r>
      <w:r w:rsidRPr="002B1251">
        <w:t>fish into the field of view of a remotely controlled camera</w:t>
      </w:r>
      <w:r w:rsidR="00F65240">
        <w:t xml:space="preserve"> to</w:t>
      </w:r>
      <w:r w:rsidRPr="002B1251">
        <w:t xml:space="preserve"> record</w:t>
      </w:r>
      <w:r>
        <w:t xml:space="preserve"> </w:t>
      </w:r>
      <w:hyperlink r:id="rId17" w:tooltip="Fish diversity" w:history="1">
        <w:r w:rsidRPr="002B1251">
          <w:t>fish diversity</w:t>
        </w:r>
      </w:hyperlink>
      <w:r w:rsidRPr="002B1251">
        <w:t>,</w:t>
      </w:r>
      <w:r>
        <w:t xml:space="preserve"> </w:t>
      </w:r>
      <w:hyperlink r:id="rId18" w:tooltip="Abundance (ecology)" w:history="1">
        <w:r w:rsidRPr="002B1251">
          <w:t>abundance</w:t>
        </w:r>
      </w:hyperlink>
      <w:r>
        <w:t xml:space="preserve"> </w:t>
      </w:r>
      <w:r w:rsidRPr="002B1251">
        <w:t>and</w:t>
      </w:r>
      <w:r>
        <w:t xml:space="preserve"> </w:t>
      </w:r>
      <w:hyperlink r:id="rId19" w:tooltip="Ethology" w:history="1">
        <w:r w:rsidRPr="002B1251">
          <w:t>behaviour</w:t>
        </w:r>
      </w:hyperlink>
      <w:r w:rsidRPr="002B1251">
        <w:t>.</w:t>
      </w:r>
      <w:r>
        <w:t xml:space="preserve"> </w:t>
      </w:r>
      <w:r w:rsidRPr="002B1251">
        <w:t xml:space="preserve"> </w:t>
      </w:r>
      <w:r w:rsidR="00F65240">
        <w:t>V</w:t>
      </w:r>
      <w:r w:rsidRPr="002B1251">
        <w:t xml:space="preserve">ideo </w:t>
      </w:r>
      <w:r w:rsidR="00F65240">
        <w:t xml:space="preserve">is captured in </w:t>
      </w:r>
      <w:r w:rsidRPr="002B1251">
        <w:t>the region surrounding a baited canister</w:t>
      </w:r>
      <w:r>
        <w:t>,</w:t>
      </w:r>
      <w:r w:rsidRPr="002B1251">
        <w:t xml:space="preserve"> which is lowered to the bottom from a surface vessel</w:t>
      </w:r>
      <w:r>
        <w:t>,</w:t>
      </w:r>
      <w:r w:rsidRPr="002B1251">
        <w:t xml:space="preserve"> or less commonly by a</w:t>
      </w:r>
      <w:r>
        <w:t xml:space="preserve"> </w:t>
      </w:r>
      <w:hyperlink r:id="rId20" w:tooltip="Submersible" w:history="1">
        <w:r w:rsidRPr="002B1251">
          <w:t>submersible</w:t>
        </w:r>
      </w:hyperlink>
      <w:r>
        <w:t xml:space="preserve"> </w:t>
      </w:r>
      <w:r w:rsidRPr="002B1251">
        <w:t>or</w:t>
      </w:r>
      <w:r>
        <w:t xml:space="preserve"> </w:t>
      </w:r>
      <w:hyperlink r:id="rId21" w:tooltip="Remotely operated underwater vehicle" w:history="1">
        <w:r w:rsidRPr="002B1251">
          <w:t>remotely operated underwater vehicle</w:t>
        </w:r>
      </w:hyperlink>
      <w:r w:rsidRPr="002B1251">
        <w:t xml:space="preserve">. </w:t>
      </w:r>
      <w:r>
        <w:t xml:space="preserve"> </w:t>
      </w:r>
      <w:r w:rsidRPr="002B1251">
        <w:t>The video can be transmitted directly to the surface by cable, or recorded for later analysis.</w:t>
      </w:r>
      <w:r>
        <w:t xml:space="preserve">  </w:t>
      </w:r>
      <w:r w:rsidRPr="002B1251">
        <w:t>Baited cameras are highly effective at attracting</w:t>
      </w:r>
      <w:r>
        <w:t xml:space="preserve"> </w:t>
      </w:r>
      <w:hyperlink r:id="rId22" w:tooltip="Scavenger" w:history="1">
        <w:r w:rsidRPr="002B1251">
          <w:t>scavengers</w:t>
        </w:r>
      </w:hyperlink>
      <w:r>
        <w:t xml:space="preserve"> </w:t>
      </w:r>
      <w:r w:rsidRPr="002B1251">
        <w:t>and subsequent</w:t>
      </w:r>
      <w:r>
        <w:t xml:space="preserve"> </w:t>
      </w:r>
      <w:hyperlink r:id="rId23" w:tooltip="Predation" w:history="1">
        <w:r w:rsidRPr="002B1251">
          <w:t>predators</w:t>
        </w:r>
      </w:hyperlink>
      <w:r w:rsidRPr="002B1251">
        <w:t>, and are a non-invasive method of generating relative</w:t>
      </w:r>
      <w:r>
        <w:t xml:space="preserve"> </w:t>
      </w:r>
      <w:hyperlink r:id="rId24" w:tooltip="Abundance (ecology)" w:history="1">
        <w:r w:rsidRPr="002B1251">
          <w:t>abundance</w:t>
        </w:r>
      </w:hyperlink>
      <w:r>
        <w:t xml:space="preserve"> </w:t>
      </w:r>
      <w:r w:rsidRPr="002B1251">
        <w:t>indices for a number of marine species.</w:t>
      </w:r>
      <w:r>
        <w:t xml:space="preserve"> </w:t>
      </w:r>
      <w:r w:rsidRPr="002B1251">
        <w:t xml:space="preserve"> </w:t>
      </w:r>
    </w:p>
    <w:p w14:paraId="590EF170" w14:textId="233FCC7C" w:rsidR="00CE7B9D" w:rsidRDefault="00CE7B9D" w:rsidP="00CE7B9D">
      <w:pPr>
        <w:pStyle w:val="WDBody"/>
      </w:pPr>
      <w:r w:rsidRPr="00FB2ED7">
        <w:rPr>
          <w:bCs/>
        </w:rPr>
        <w:t xml:space="preserve">Where SCUBA diving is employed, strict safety and QA protocols are required. </w:t>
      </w:r>
      <w:r>
        <w:rPr>
          <w:bCs/>
        </w:rPr>
        <w:t xml:space="preserve"> </w:t>
      </w:r>
      <w:r w:rsidRPr="00FB2ED7">
        <w:rPr>
          <w:bCs/>
        </w:rPr>
        <w:t>UK HSE (2014) Approved Code of Practice and Guidance for Scientific and Archaeological diving projects and Diving at Work Regulations 1997 provide an internationally recognised benchmark for such activities.</w:t>
      </w:r>
      <w:r>
        <w:rPr>
          <w:bCs/>
        </w:rPr>
        <w:t xml:space="preserve">  </w:t>
      </w:r>
    </w:p>
    <w:p w14:paraId="73B889EA" w14:textId="780357A1" w:rsidR="00CE7B9D" w:rsidRDefault="00CE7B9D" w:rsidP="00CE7B9D">
      <w:pPr>
        <w:pStyle w:val="Heading2"/>
      </w:pPr>
      <w:bookmarkStart w:id="28" w:name="_Toc69458022"/>
      <w:r>
        <w:t>Coral and Seagrass Communities</w:t>
      </w:r>
      <w:bookmarkEnd w:id="28"/>
    </w:p>
    <w:p w14:paraId="1DD770F8" w14:textId="77777777" w:rsidR="00CE7B9D" w:rsidRPr="00FB2ED7" w:rsidRDefault="00CE7B9D" w:rsidP="00CE7B9D">
      <w:pPr>
        <w:pStyle w:val="WDBody"/>
      </w:pPr>
      <w:r>
        <w:t xml:space="preserve">Grab sampling is not suitable for coral or seagrass areas, which require direct non-destructive observation.  </w:t>
      </w:r>
    </w:p>
    <w:p w14:paraId="6D15A7F1" w14:textId="235E57F8" w:rsidR="00CE7B9D" w:rsidRDefault="00CE7B9D" w:rsidP="00CE7B9D">
      <w:pPr>
        <w:pStyle w:val="WDBody"/>
        <w:rPr>
          <w:bCs/>
        </w:rPr>
      </w:pPr>
      <w:r>
        <w:t xml:space="preserve">Coral </w:t>
      </w:r>
      <w:r w:rsidRPr="00FB2ED7">
        <w:t>surveys will follow the methods originally set out by AIMS</w:t>
      </w:r>
      <w:r>
        <w:t>,</w:t>
      </w:r>
      <w:r w:rsidRPr="00FB2ED7">
        <w:t xml:space="preserve"> by English et al. (1997)</w:t>
      </w:r>
      <w:r w:rsidRPr="00FB2ED7">
        <w:rPr>
          <w:rStyle w:val="FootnoteReference"/>
        </w:rPr>
        <w:footnoteReference w:id="7"/>
      </w:r>
      <w:r w:rsidRPr="00FB2ED7">
        <w:t xml:space="preserve"> and </w:t>
      </w:r>
      <w:r>
        <w:t xml:space="preserve">recommended by </w:t>
      </w:r>
      <w:r w:rsidRPr="00FB2ED7">
        <w:t xml:space="preserve">PERSGA. </w:t>
      </w:r>
      <w:r>
        <w:t xml:space="preserve"> </w:t>
      </w:r>
      <w:r w:rsidRPr="00FB2ED7">
        <w:t xml:space="preserve">Along each </w:t>
      </w:r>
      <w:r>
        <w:t xml:space="preserve">of five </w:t>
      </w:r>
      <w:r w:rsidRPr="00FB2ED7">
        <w:t xml:space="preserve">50 m transect line, 0.5 m x 0.5 m </w:t>
      </w:r>
      <w:proofErr w:type="spellStart"/>
      <w:r w:rsidRPr="00FB2ED7">
        <w:t>photoquadrats</w:t>
      </w:r>
      <w:proofErr w:type="spellEnd"/>
      <w:r w:rsidRPr="00FB2ED7">
        <w:t xml:space="preserve"> will be taken at regular intervals</w:t>
      </w:r>
      <w:r>
        <w:t xml:space="preserve"> (approximately 2 m intervals)</w:t>
      </w:r>
      <w:r w:rsidRPr="00FB2ED7">
        <w:t>.</w:t>
      </w:r>
      <w:r>
        <w:t xml:space="preserve"> </w:t>
      </w:r>
      <w:r w:rsidRPr="00FB2ED7">
        <w:t xml:space="preserve"> The frames will be analysed using </w:t>
      </w:r>
      <w:r w:rsidRPr="002015F9">
        <w:t>Coral</w:t>
      </w:r>
      <w:r>
        <w:t xml:space="preserve"> </w:t>
      </w:r>
      <w:r w:rsidRPr="002015F9">
        <w:t>Point Count with Excel extensions</w:t>
      </w:r>
      <w:r w:rsidRPr="00FB2ED7">
        <w:t xml:space="preserve"> </w:t>
      </w:r>
      <w:r>
        <w:t>(</w:t>
      </w:r>
      <w:proofErr w:type="spellStart"/>
      <w:r w:rsidRPr="00FB2ED7">
        <w:t>CPCe</w:t>
      </w:r>
      <w:proofErr w:type="spellEnd"/>
      <w:r>
        <w:t>) and will be</w:t>
      </w:r>
      <w:r w:rsidRPr="00FB2ED7">
        <w:t xml:space="preserve"> based on a stratified-random overlay of a minimum of 20 points per frame to provide coral and other benthic cover</w:t>
      </w:r>
      <w:r w:rsidRPr="009F4FCA">
        <w:t xml:space="preserve"> data. </w:t>
      </w:r>
      <w:r>
        <w:t xml:space="preserve"> </w:t>
      </w:r>
      <w:r w:rsidRPr="009F4FCA">
        <w:t>The analysis will result in 2,500 data points per station depth, with the data output summaris</w:t>
      </w:r>
      <w:r w:rsidR="00F65240">
        <w:t>ing</w:t>
      </w:r>
      <w:r w:rsidRPr="009F4FCA">
        <w:t xml:space="preserve"> the percentage cover of individual live hard coral genera, the percentage of live and dead corals (recently dead, partially dead, </w:t>
      </w:r>
      <w:proofErr w:type="gramStart"/>
      <w:r w:rsidRPr="009F4FCA">
        <w:t>long-dead</w:t>
      </w:r>
      <w:proofErr w:type="gramEnd"/>
      <w:r w:rsidRPr="009F4FCA">
        <w:t xml:space="preserve">) plus a number of other indicator categories including coral bleaching, turf and macroalgae, coralline algae, and substrate groups (sand, rock, rubble etc.). </w:t>
      </w:r>
      <w:r>
        <w:t xml:space="preserve"> </w:t>
      </w:r>
      <w:r w:rsidRPr="009F4FCA">
        <w:t xml:space="preserve">Sedimentation and coral damage will be included as indicators of anthropogenic impacts, alongside coral diseases, </w:t>
      </w:r>
      <w:proofErr w:type="spellStart"/>
      <w:r w:rsidRPr="00794F35">
        <w:rPr>
          <w:i/>
        </w:rPr>
        <w:t>Drupella</w:t>
      </w:r>
      <w:proofErr w:type="spellEnd"/>
      <w:r w:rsidRPr="009F4FCA">
        <w:t xml:space="preserve"> </w:t>
      </w:r>
      <w:r>
        <w:t xml:space="preserve">snail </w:t>
      </w:r>
      <w:r w:rsidRPr="009F4FCA">
        <w:t xml:space="preserve">and </w:t>
      </w:r>
      <w:proofErr w:type="spellStart"/>
      <w:r>
        <w:rPr>
          <w:i/>
        </w:rPr>
        <w:t>Acanthaster</w:t>
      </w:r>
      <w:proofErr w:type="spellEnd"/>
      <w:r>
        <w:rPr>
          <w:i/>
        </w:rPr>
        <w:t xml:space="preserve"> </w:t>
      </w:r>
      <w:r w:rsidRPr="009F4FCA">
        <w:t>starfish predation, a</w:t>
      </w:r>
      <w:r>
        <w:t>s well as other indicators as set out by the IUCN for reef resilience studies (</w:t>
      </w:r>
      <w:proofErr w:type="spellStart"/>
      <w:r>
        <w:t>Obura</w:t>
      </w:r>
      <w:proofErr w:type="spellEnd"/>
      <w:r>
        <w:t xml:space="preserve"> &amp; </w:t>
      </w:r>
      <w:proofErr w:type="spellStart"/>
      <w:r>
        <w:t>Grimsditch</w:t>
      </w:r>
      <w:proofErr w:type="spellEnd"/>
      <w:r>
        <w:t>, 2009)</w:t>
      </w:r>
      <w:r>
        <w:rPr>
          <w:rStyle w:val="FootnoteReference"/>
        </w:rPr>
        <w:footnoteReference w:id="8"/>
      </w:r>
      <w:r>
        <w:t>.</w:t>
      </w:r>
      <w:r w:rsidRPr="00972DBB">
        <w:rPr>
          <w:bCs/>
        </w:rPr>
        <w:t xml:space="preserve"> </w:t>
      </w:r>
      <w:r>
        <w:rPr>
          <w:bCs/>
        </w:rPr>
        <w:t xml:space="preserve"> </w:t>
      </w:r>
    </w:p>
    <w:p w14:paraId="72D8BE2F" w14:textId="525A7154" w:rsidR="00CE7B9D" w:rsidRDefault="00CE7B9D" w:rsidP="00CE7B9D">
      <w:pPr>
        <w:pStyle w:val="WDBody"/>
        <w:rPr>
          <w:bCs/>
        </w:rPr>
      </w:pPr>
      <w:r w:rsidRPr="003D3EB3">
        <w:rPr>
          <w:bCs/>
        </w:rPr>
        <w:t xml:space="preserve">Fish assemblages </w:t>
      </w:r>
      <w:r>
        <w:rPr>
          <w:bCs/>
        </w:rPr>
        <w:t xml:space="preserve">will additionally </w:t>
      </w:r>
      <w:r w:rsidRPr="003D3EB3">
        <w:rPr>
          <w:bCs/>
        </w:rPr>
        <w:t>be monitored</w:t>
      </w:r>
      <w:r>
        <w:rPr>
          <w:bCs/>
        </w:rPr>
        <w:t xml:space="preserve"> </w:t>
      </w:r>
      <w:r w:rsidRPr="003D3EB3">
        <w:rPr>
          <w:bCs/>
        </w:rPr>
        <w:t xml:space="preserve">using </w:t>
      </w:r>
      <w:r>
        <w:rPr>
          <w:bCs/>
        </w:rPr>
        <w:t xml:space="preserve">non-destructive </w:t>
      </w:r>
      <w:r w:rsidRPr="003D3EB3">
        <w:rPr>
          <w:bCs/>
        </w:rPr>
        <w:t>video technique</w:t>
      </w:r>
      <w:r>
        <w:rPr>
          <w:bCs/>
        </w:rPr>
        <w:t>s</w:t>
      </w:r>
      <w:r w:rsidRPr="003D3EB3">
        <w:rPr>
          <w:bCs/>
        </w:rPr>
        <w:t>.</w:t>
      </w:r>
      <w:r>
        <w:rPr>
          <w:bCs/>
        </w:rPr>
        <w:t xml:space="preserve">  While both BRUV and RUV systems can be used, </w:t>
      </w:r>
      <w:proofErr w:type="spellStart"/>
      <w:r>
        <w:rPr>
          <w:bCs/>
        </w:rPr>
        <w:t>u</w:t>
      </w:r>
      <w:r w:rsidRPr="00FB2ED7">
        <w:t>nbaited</w:t>
      </w:r>
      <w:proofErr w:type="spellEnd"/>
      <w:r w:rsidRPr="00FB2ED7">
        <w:t xml:space="preserve"> RUV has </w:t>
      </w:r>
      <w:r>
        <w:t xml:space="preserve">some </w:t>
      </w:r>
      <w:r w:rsidRPr="00FB2ED7">
        <w:t>advantages in that it introduces less bias in the data, as it does not disproportionately attract predators and scavenging species.</w:t>
      </w:r>
      <w:r>
        <w:t xml:space="preserve">  As per PERGSA guidance, a minimum of three or more rigs will be deployed at each site for one hour.  </w:t>
      </w:r>
    </w:p>
    <w:p w14:paraId="0005182D" w14:textId="77777777" w:rsidR="00CE7B9D" w:rsidRDefault="00CE7B9D" w:rsidP="00CE7B9D">
      <w:pPr>
        <w:pStyle w:val="WDBody"/>
        <w:rPr>
          <w:bCs/>
        </w:rPr>
      </w:pPr>
      <w:r>
        <w:rPr>
          <w:bCs/>
        </w:rPr>
        <w:t xml:space="preserve">Similar approaches are used for seagrass areas, using the transect based method set out by </w:t>
      </w:r>
      <w:proofErr w:type="spellStart"/>
      <w:r>
        <w:rPr>
          <w:bCs/>
        </w:rPr>
        <w:t>SeagrassWatch</w:t>
      </w:r>
      <w:proofErr w:type="spellEnd"/>
      <w:r>
        <w:rPr>
          <w:rStyle w:val="FootnoteReference"/>
          <w:bCs/>
        </w:rPr>
        <w:footnoteReference w:id="9"/>
      </w:r>
      <w:r>
        <w:rPr>
          <w:bCs/>
        </w:rPr>
        <w:t xml:space="preserve"> and recommended by PERGSA, using </w:t>
      </w:r>
      <w:proofErr w:type="spellStart"/>
      <w:r>
        <w:rPr>
          <w:bCs/>
        </w:rPr>
        <w:t>photoquadrats</w:t>
      </w:r>
      <w:proofErr w:type="spellEnd"/>
      <w:r>
        <w:rPr>
          <w:bCs/>
        </w:rPr>
        <w:t xml:space="preserve"> along three 50 m transects.  </w:t>
      </w:r>
    </w:p>
    <w:p w14:paraId="5E7D16A4" w14:textId="6E9B565D" w:rsidR="00CE7B9D" w:rsidRDefault="00CE7B9D" w:rsidP="00CE7B9D">
      <w:pPr>
        <w:pStyle w:val="WDBody"/>
        <w:rPr>
          <w:bCs/>
        </w:rPr>
      </w:pPr>
      <w:r w:rsidRPr="00FB2ED7">
        <w:rPr>
          <w:bCs/>
        </w:rPr>
        <w:lastRenderedPageBreak/>
        <w:t xml:space="preserve">Where SCUBA diving is employed, strict safety and QA protocols are required. </w:t>
      </w:r>
      <w:r>
        <w:rPr>
          <w:bCs/>
        </w:rPr>
        <w:t xml:space="preserve"> </w:t>
      </w:r>
      <w:r w:rsidRPr="00FB2ED7">
        <w:rPr>
          <w:bCs/>
        </w:rPr>
        <w:t>UK HSE (2014) Approved Code of Practice and Guidance for Scientific and Archaeological diving projects and Diving at Work Regulations 1997 provide an internationally recognised benchmark for such activities.</w:t>
      </w:r>
      <w:r>
        <w:rPr>
          <w:bCs/>
        </w:rPr>
        <w:t xml:space="preserve">  </w:t>
      </w:r>
    </w:p>
    <w:p w14:paraId="584D19C1" w14:textId="4F49F1BB" w:rsidR="00CE7B9D" w:rsidRDefault="00F65240" w:rsidP="00CE7B9D">
      <w:pPr>
        <w:pStyle w:val="Heading2"/>
      </w:pPr>
      <w:bookmarkStart w:id="29" w:name="_Toc69458023"/>
      <w:r>
        <w:t xml:space="preserve">Large-scale </w:t>
      </w:r>
      <w:r w:rsidR="00CE7B9D">
        <w:t>Habitat Mapping</w:t>
      </w:r>
      <w:bookmarkEnd w:id="29"/>
    </w:p>
    <w:p w14:paraId="7CD7016F" w14:textId="42BEB505" w:rsidR="00F65240" w:rsidRDefault="00F65240" w:rsidP="00F65240">
      <w:pPr>
        <w:pStyle w:val="WDBody"/>
      </w:pPr>
      <w:r>
        <w:t>Habitat mapping will be achieved through a variety of spatially continuous data acquisition methods, ground-</w:t>
      </w:r>
      <w:proofErr w:type="spellStart"/>
      <w:r>
        <w:t>truthed</w:t>
      </w:r>
      <w:proofErr w:type="spellEnd"/>
      <w:r>
        <w:t xml:space="preserve"> using high resolution video and photography. </w:t>
      </w:r>
    </w:p>
    <w:p w14:paraId="5F5EE9CC" w14:textId="77777777" w:rsidR="00F65240" w:rsidRDefault="00F65240" w:rsidP="00F65240">
      <w:pPr>
        <w:pStyle w:val="WDBody"/>
      </w:pPr>
      <w:r>
        <w:t xml:space="preserve">Spatially continuous techniques use boat mounted or towed hydro-acoustic apparatus (multibeam echo sounder and </w:t>
      </w:r>
      <w:proofErr w:type="spellStart"/>
      <w:r>
        <w:t>sidescan</w:t>
      </w:r>
      <w:proofErr w:type="spellEnd"/>
      <w:r>
        <w:t xml:space="preserve"> sonar) to map large areas according to seabed reflectivity and bathymetry.  Multispectral satellite imagery can also be used for coastal and shallow water areas (satellite imagery starts to degrade at around -15 m and is not useable beyond -25 m).  </w:t>
      </w:r>
    </w:p>
    <w:p w14:paraId="573C154B" w14:textId="5BDDF55E" w:rsidR="00F65240" w:rsidRDefault="00F65240" w:rsidP="00F65240">
      <w:pPr>
        <w:pStyle w:val="WDBody"/>
      </w:pPr>
      <w:r>
        <w:t>Once the mosaic of habitats is mapped identified, ground-truthing is achieved using photographic and video observation using either towed or drop-down rigs.  A stratified programme of ground tr</w:t>
      </w:r>
      <w:r w:rsidR="00450146">
        <w:t>u</w:t>
      </w:r>
      <w:r>
        <w:t>thing ensures that direct observations are made of each habitat type, while minimising the number of locations.  This prevents the possibility of patch habitat being missed when using a regular grid with wide spacing.</w:t>
      </w:r>
    </w:p>
    <w:p w14:paraId="3709C473" w14:textId="77777777" w:rsidR="00F65240" w:rsidRDefault="00F65240" w:rsidP="00F65240">
      <w:pPr>
        <w:pStyle w:val="WDBody"/>
      </w:pPr>
      <w:r>
        <w:t xml:space="preserve">Ecological information for each habitat identified will be presented in the reports in a hierarchical manner. This is the standard approach used by e.g. the UK Joint Nature Conservation Committee ‘Marine Habitat Classification for Great Britain and Ireland’ (JNCC, 2004); photographs of each habitat type will also be presented.  </w:t>
      </w:r>
    </w:p>
    <w:p w14:paraId="2678A176" w14:textId="0432FFEA" w:rsidR="00F65240" w:rsidRPr="00FB2ED7" w:rsidRDefault="00194F6C" w:rsidP="00F65240">
      <w:pPr>
        <w:pStyle w:val="WDBody"/>
        <w:rPr>
          <w:bCs/>
        </w:rPr>
      </w:pPr>
      <w:r>
        <w:t xml:space="preserve">A key role for habitat mapping is to inform sampling site selection.  </w:t>
      </w:r>
      <w:r w:rsidR="00BE04B0">
        <w:t xml:space="preserve">Sampling sites need to be representative of the area in which they are situated, thus an understanding of the heterogeneity/homogeneity of the wider area is required to ensure all habitat types are adequately sampled.  </w:t>
      </w:r>
      <w:r w:rsidR="00BE04B0">
        <w:rPr>
          <w:szCs w:val="20"/>
        </w:rPr>
        <w:t>Sample points must be spread out over the extent of the habitat studied to ensure an adequate consideration of spatial variation, as well</w:t>
      </w:r>
      <w:r w:rsidR="00ED2C5D">
        <w:rPr>
          <w:szCs w:val="20"/>
        </w:rPr>
        <w:t xml:space="preserve"> </w:t>
      </w:r>
      <w:r w:rsidR="00BE04B0">
        <w:rPr>
          <w:szCs w:val="20"/>
        </w:rPr>
        <w:t>as being representative of the whole monitoring area; all characteristic habitat structures and substrates must be sampled</w:t>
      </w:r>
      <w:r w:rsidR="00BE04B0">
        <w:rPr>
          <w:rStyle w:val="FootnoteReference"/>
          <w:szCs w:val="20"/>
        </w:rPr>
        <w:footnoteReference w:id="10"/>
      </w:r>
      <w:r w:rsidR="00BE04B0">
        <w:rPr>
          <w:szCs w:val="20"/>
        </w:rPr>
        <w:t xml:space="preserve">.  </w:t>
      </w:r>
      <w:r w:rsidR="00BE04B0">
        <w:t xml:space="preserve"> </w:t>
      </w:r>
      <w:r w:rsidR="00ED2C5D">
        <w:t xml:space="preserve">Habitat mapping allows for the development of such a “stratified” sampling design and also </w:t>
      </w:r>
      <w:r w:rsidR="00BE04B0">
        <w:t>allows for the selection of representative control sites that should be included against which to measure potential future anthropogenic impacts</w:t>
      </w:r>
      <w:r w:rsidR="00B322D6">
        <w:t>. This is particularly important of a BACI (Before/ After/ Control/ Impact programme is required</w:t>
      </w:r>
      <w:r w:rsidR="00BE04B0">
        <w:t>.</w:t>
      </w:r>
      <w:r w:rsidR="00B322D6">
        <w:t xml:space="preserve"> </w:t>
      </w:r>
    </w:p>
    <w:p w14:paraId="76A210D9" w14:textId="749FF2D7" w:rsidR="00CE7B9D" w:rsidRDefault="00CE7B9D" w:rsidP="00CE7B9D">
      <w:pPr>
        <w:pStyle w:val="Heading2"/>
      </w:pPr>
      <w:bookmarkStart w:id="30" w:name="_Toc69458024"/>
      <w:r>
        <w:t>Marine Megafauna and Birds</w:t>
      </w:r>
      <w:bookmarkEnd w:id="30"/>
    </w:p>
    <w:p w14:paraId="772622AB" w14:textId="0A504A83" w:rsidR="00CE7B9D" w:rsidRDefault="00CE7B9D" w:rsidP="00CE7B9D">
      <w:pPr>
        <w:pStyle w:val="WDBody"/>
      </w:pPr>
      <w:r>
        <w:t xml:space="preserve">The Red Sea harbours diverse megafauna comprising migratory and </w:t>
      </w:r>
      <w:r w:rsidR="00F65240">
        <w:t xml:space="preserve">resident </w:t>
      </w:r>
      <w:r>
        <w:t xml:space="preserve">birds, marine mammals, large migratory fish (whale sharks and manta rays) and marine reptiles.  Many of these species are listed by IUCN as being either threatened or endangered; therefore baseline data on these animals are an important component of MEBS, particularly when noisy construction works are expected.  </w:t>
      </w:r>
    </w:p>
    <w:p w14:paraId="0D0CF695" w14:textId="1632ED06" w:rsidR="00CE7B9D" w:rsidRDefault="00CE7B9D" w:rsidP="00CE7B9D">
      <w:pPr>
        <w:pStyle w:val="WDBody"/>
      </w:pPr>
      <w:r>
        <w:t>Due to the seasonality of migrant species, surveys should be conducted at least twice per year to account for different species with different breeding seasons</w:t>
      </w:r>
      <w:r w:rsidR="00216A39">
        <w:t>; the precise timing of such surveys should be determined after a desktop review of the likely species to be encountered</w:t>
      </w:r>
      <w:r>
        <w:t xml:space="preserve">.  A combination of ground level and aerial surveys can be used; the suitability of different techniques varies by species and time of year.  </w:t>
      </w:r>
    </w:p>
    <w:p w14:paraId="455C5A5E" w14:textId="77777777" w:rsidR="00CE7B9D" w:rsidRDefault="00CE7B9D" w:rsidP="00CE7B9D">
      <w:pPr>
        <w:pStyle w:val="Heading3"/>
      </w:pPr>
      <w:bookmarkStart w:id="31" w:name="_Toc69458025"/>
      <w:r>
        <w:lastRenderedPageBreak/>
        <w:t>Ground Level Observations</w:t>
      </w:r>
      <w:bookmarkEnd w:id="31"/>
    </w:p>
    <w:p w14:paraId="03039062" w14:textId="77777777" w:rsidR="00CE7B9D" w:rsidRDefault="00CE7B9D" w:rsidP="00CE7B9D">
      <w:pPr>
        <w:pStyle w:val="WDBody"/>
      </w:pPr>
      <w:r>
        <w:t xml:space="preserve">Ground level observations will be carried out both from vessels (all species) and onshore (for birds and turtles).  Observers will have a good knowledge of both the local and regional coastal waters and migratory patterns.  </w:t>
      </w:r>
    </w:p>
    <w:p w14:paraId="3AC6B6F9" w14:textId="77777777" w:rsidR="00CE7B9D" w:rsidRDefault="00CE7B9D" w:rsidP="00CE7B9D">
      <w:pPr>
        <w:pStyle w:val="Heading3"/>
      </w:pPr>
      <w:bookmarkStart w:id="32" w:name="_Toc69458026"/>
      <w:r>
        <w:t>Shipboard Observations</w:t>
      </w:r>
      <w:bookmarkEnd w:id="32"/>
    </w:p>
    <w:p w14:paraId="74665136" w14:textId="30DF5EC0" w:rsidR="00CE7B9D" w:rsidRDefault="00CE7B9D" w:rsidP="00CE7B9D">
      <w:pPr>
        <w:pStyle w:val="WDBody"/>
      </w:pPr>
      <w:r>
        <w:t xml:space="preserve">Shipboard observations will be made during all survey cruises by suitably qualified and experienced observers.  All sightings shall be logged, along with details/descriptions of the behavioural patterns being displayed during sighting.  The observation log sheets shall then be included within the report and mapped accordingly within </w:t>
      </w:r>
      <w:r w:rsidR="00216A39">
        <w:t xml:space="preserve">a </w:t>
      </w:r>
      <w:r>
        <w:t xml:space="preserve">GIS, </w:t>
      </w:r>
      <w:r w:rsidR="00216A39">
        <w:t xml:space="preserve">noting </w:t>
      </w:r>
      <w:r>
        <w:t xml:space="preserve">the estimated distance of the </w:t>
      </w:r>
      <w:r w:rsidR="00216A39">
        <w:t>observer to the subject.</w:t>
      </w:r>
    </w:p>
    <w:p w14:paraId="144684E6" w14:textId="3A05E7E4" w:rsidR="00CE7B9D" w:rsidRDefault="00CE7B9D" w:rsidP="00CE7B9D">
      <w:pPr>
        <w:pStyle w:val="WDBody"/>
      </w:pPr>
      <w:r w:rsidRPr="002E1EC7">
        <w:t xml:space="preserve">Best practice </w:t>
      </w:r>
      <w:r>
        <w:t>marine mammal</w:t>
      </w:r>
      <w:r w:rsidRPr="002E1EC7">
        <w:t xml:space="preserve"> surveys from boats require a team of 3 observers, and a bo</w:t>
      </w:r>
      <w:r>
        <w:t>a</w:t>
      </w:r>
      <w:r w:rsidRPr="002E1EC7">
        <w:t>t steaming at 3 knots on a planned route</w:t>
      </w:r>
      <w:r>
        <w:t xml:space="preserve">.  It should be noted that this slow speed may not always be </w:t>
      </w:r>
      <w:r w:rsidRPr="002E1EC7">
        <w:t xml:space="preserve">practical if </w:t>
      </w:r>
      <w:r w:rsidR="00216A39">
        <w:t>“</w:t>
      </w:r>
      <w:r w:rsidRPr="002E1EC7">
        <w:t>piggybacking</w:t>
      </w:r>
      <w:r w:rsidR="00216A39">
        <w:t>”</w:t>
      </w:r>
      <w:r w:rsidRPr="002E1EC7">
        <w:t xml:space="preserve"> on another survey activity</w:t>
      </w:r>
      <w:r>
        <w:t xml:space="preserve">.  </w:t>
      </w:r>
    </w:p>
    <w:p w14:paraId="19FDAD20" w14:textId="4E7C804C" w:rsidR="002A3306" w:rsidRPr="002E1EC7" w:rsidRDefault="002A3306" w:rsidP="00CE7B9D">
      <w:pPr>
        <w:pStyle w:val="WDBody"/>
      </w:pPr>
      <w:r>
        <w:t xml:space="preserve">A sound recorder may be used to </w:t>
      </w:r>
      <w:r w:rsidR="00216A39">
        <w:t>allow</w:t>
      </w:r>
      <w:r>
        <w:t xml:space="preserve"> the observer to record notes while scanning; otherwise an additional team member can be designated to transcribe observations in real time if preferred.   </w:t>
      </w:r>
    </w:p>
    <w:p w14:paraId="70651DD4" w14:textId="77777777" w:rsidR="00CE7B9D" w:rsidRDefault="00CE7B9D" w:rsidP="00CE7B9D">
      <w:pPr>
        <w:pStyle w:val="Heading3"/>
      </w:pPr>
      <w:bookmarkStart w:id="33" w:name="_Toc69458027"/>
      <w:r>
        <w:t>Land Based Observations</w:t>
      </w:r>
      <w:bookmarkEnd w:id="33"/>
    </w:p>
    <w:p w14:paraId="723649A5" w14:textId="77777777" w:rsidR="00CE7B9D" w:rsidRDefault="00CE7B9D" w:rsidP="00CE7B9D">
      <w:pPr>
        <w:pStyle w:val="WDBody"/>
      </w:pPr>
      <w:r>
        <w:t>Land based observations of birds will use vantage point counts</w:t>
      </w:r>
      <w:r w:rsidRPr="000433D9">
        <w:t xml:space="preserve">, flush counts and walk-through counts to estimate </w:t>
      </w:r>
      <w:r>
        <w:t>to estimate breeding seabird numbers and nest densities as set out in PERSGA guidance.  The suitability of these methods depends upon the species, season and terrain. Each colony/site may need a different combination of methods.</w:t>
      </w:r>
    </w:p>
    <w:p w14:paraId="27B4340E" w14:textId="77777777" w:rsidR="00CE7B9D" w:rsidRDefault="00CE7B9D" w:rsidP="00CE7B9D">
      <w:pPr>
        <w:pStyle w:val="WDBullets"/>
      </w:pPr>
      <w:r>
        <w:t xml:space="preserve">Vantage point surveys will comprise timed counts from a fixed location, with numbers of individuals, occupied nest and vacant nests being recorded.  The estimated size of the survey area, substrate composition (e.g. percentage sand and rock, vegetation cover, vegetation height) and evidence of human activities, including huts, fishing camps and boats within 2 km of coast will be noted at each site.  </w:t>
      </w:r>
    </w:p>
    <w:p w14:paraId="473DD354" w14:textId="77777777" w:rsidR="00CE7B9D" w:rsidRDefault="00CE7B9D" w:rsidP="00CE7B9D">
      <w:pPr>
        <w:pStyle w:val="WDBullets"/>
      </w:pPr>
      <w:r>
        <w:t xml:space="preserve">Flush counts entail the observer approaching the colony just close enough for birds to take flight, at which point the flying birds of each species are counted.   This will be repeated 3-5 times per site and the mean calculated.  Flush counts will not be used in isolation but paired with walkthrough or transect/quadrat counts of nests and clutch sizes.  </w:t>
      </w:r>
    </w:p>
    <w:p w14:paraId="29E119FB" w14:textId="77777777" w:rsidR="00CE7B9D" w:rsidRDefault="00CE7B9D" w:rsidP="00CE7B9D">
      <w:pPr>
        <w:pStyle w:val="WDBullets"/>
      </w:pPr>
      <w:r>
        <w:t xml:space="preserve">For smaller colonies, walkthroughs may be used.  Following a flush count, two observers will walk through the colony on parallel tracks to count nests and clutches.  For very high density colonies, quadrats will be used to estimate nest and clutch numbers, with quadrats at 5 m intervals.  </w:t>
      </w:r>
    </w:p>
    <w:p w14:paraId="3BAE6B34" w14:textId="77777777" w:rsidR="00CE7B9D" w:rsidRDefault="00CE7B9D" w:rsidP="00CE7B9D">
      <w:pPr>
        <w:pStyle w:val="Heading3"/>
      </w:pPr>
      <w:bookmarkStart w:id="34" w:name="_Toc69458028"/>
      <w:r>
        <w:t>Sea Turtle Nesting Beaches</w:t>
      </w:r>
      <w:bookmarkEnd w:id="34"/>
    </w:p>
    <w:p w14:paraId="2D538C7F" w14:textId="55F2C245" w:rsidR="00CE7B9D" w:rsidRDefault="00CE7B9D" w:rsidP="00CE7B9D">
      <w:pPr>
        <w:pStyle w:val="WDBody"/>
      </w:pPr>
      <w:r w:rsidRPr="000433D9">
        <w:t xml:space="preserve">To identify the suitable sea turtle nesting beaches within the NEOM Project Area, beaches </w:t>
      </w:r>
      <w:r w:rsidR="00216A39">
        <w:t>on</w:t>
      </w:r>
      <w:r w:rsidRPr="000433D9">
        <w:t xml:space="preserve"> the islands and the mainland coast will be monitored during nesting season. </w:t>
      </w:r>
      <w:r>
        <w:t xml:space="preserve"> </w:t>
      </w:r>
      <w:r w:rsidRPr="000433D9">
        <w:t>The intensity of nesting attempts</w:t>
      </w:r>
      <w:r>
        <w:t xml:space="preserve"> and species present </w:t>
      </w:r>
      <w:r w:rsidRPr="000433D9">
        <w:t xml:space="preserve">will be estimated based on the </w:t>
      </w:r>
      <w:r>
        <w:t xml:space="preserve">pattern, </w:t>
      </w:r>
      <w:r w:rsidRPr="000433D9">
        <w:t>number and distribution of nesting tracks</w:t>
      </w:r>
      <w:r>
        <w:t xml:space="preserve">.  </w:t>
      </w:r>
      <w:r w:rsidRPr="000433D9">
        <w:t>Coordinates of each nesting track will be obtained from geotagged photographs. GIS maps with locations of turtle nesting tracks will be developed.</w:t>
      </w:r>
      <w:r>
        <w:t xml:space="preserve">  This follows the Level 1 Nesting Beach Survey method set out be PERSGA.  </w:t>
      </w:r>
    </w:p>
    <w:p w14:paraId="7941BF79" w14:textId="77777777" w:rsidR="00CE7B9D" w:rsidRDefault="00CE7B9D" w:rsidP="00CE7B9D">
      <w:pPr>
        <w:pStyle w:val="Heading3"/>
      </w:pPr>
      <w:bookmarkStart w:id="35" w:name="_Toc69458029"/>
      <w:r>
        <w:lastRenderedPageBreak/>
        <w:t>Aerial Surveys</w:t>
      </w:r>
      <w:bookmarkEnd w:id="35"/>
    </w:p>
    <w:p w14:paraId="6A5B6EE7" w14:textId="63196157" w:rsidR="00CE7B9D" w:rsidRDefault="00CE7B9D" w:rsidP="00CE7B9D">
      <w:pPr>
        <w:pStyle w:val="WDBody"/>
      </w:pPr>
      <w:r>
        <w:t xml:space="preserve">While PERSGA states that aerial observations may be conducted from fixed wing aircraft or helicopters, the latter is not recommended, as it is well documented due to the degree of noise and disturbance they cause.  A review commissioned by the </w:t>
      </w:r>
      <w:r>
        <w:rPr>
          <w:rStyle w:val="hvr"/>
        </w:rPr>
        <w:t>Collaborative</w:t>
      </w:r>
      <w:r>
        <w:t xml:space="preserve"> </w:t>
      </w:r>
      <w:r>
        <w:rPr>
          <w:rStyle w:val="hvr"/>
        </w:rPr>
        <w:t>Offshore</w:t>
      </w:r>
      <w:r>
        <w:t xml:space="preserve"> </w:t>
      </w:r>
      <w:r>
        <w:rPr>
          <w:rStyle w:val="hvr"/>
        </w:rPr>
        <w:t>Wind</w:t>
      </w:r>
      <w:r>
        <w:t xml:space="preserve"> </w:t>
      </w:r>
      <w:r>
        <w:rPr>
          <w:rStyle w:val="hvr"/>
        </w:rPr>
        <w:t>Research</w:t>
      </w:r>
      <w:r>
        <w:t xml:space="preserve"> </w:t>
      </w:r>
      <w:proofErr w:type="gramStart"/>
      <w:r>
        <w:rPr>
          <w:rStyle w:val="hvr"/>
        </w:rPr>
        <w:t>Into</w:t>
      </w:r>
      <w:proofErr w:type="gramEnd"/>
      <w:r>
        <w:t xml:space="preserve"> </w:t>
      </w:r>
      <w:r>
        <w:rPr>
          <w:rStyle w:val="hvr"/>
        </w:rPr>
        <w:t>the</w:t>
      </w:r>
      <w:r>
        <w:t xml:space="preserve"> </w:t>
      </w:r>
      <w:r>
        <w:rPr>
          <w:rStyle w:val="hvr"/>
        </w:rPr>
        <w:t>Environment</w:t>
      </w:r>
      <w:r>
        <w:t xml:space="preserve"> (COWRIE) is considered to represent best practice in Europe.  This review recommends that twin-engine, high wing reconnaissance aircraft, should be used as they can fly at an appropriate speed, have sufficient range and endurance for offshore work and ensure the best all round visibility for observers</w:t>
      </w:r>
      <w:r>
        <w:rPr>
          <w:rStyle w:val="FootnoteReference"/>
        </w:rPr>
        <w:footnoteReference w:id="11"/>
      </w:r>
      <w:r>
        <w:t xml:space="preserve">.  </w:t>
      </w:r>
      <w:r w:rsidR="00B66E0C">
        <w:t xml:space="preserve">It is </w:t>
      </w:r>
      <w:r w:rsidR="00216A39">
        <w:t xml:space="preserve">nonetheless </w:t>
      </w:r>
      <w:r w:rsidR="00B66E0C">
        <w:t>acknowledged that such may not always be available and helicopters might need to be used instead.</w:t>
      </w:r>
    </w:p>
    <w:p w14:paraId="50BA8E20" w14:textId="77777777" w:rsidR="00CE7B9D" w:rsidRPr="0084142E" w:rsidRDefault="00CE7B9D" w:rsidP="00CE7B9D">
      <w:pPr>
        <w:pStyle w:val="WDBody"/>
      </w:pPr>
      <w:r>
        <w:t>Aerial count surveys require a minimum of two surveyors with previous experience in conducting these types of surveys, as they must be familiar with and able to accurately record the species found within the area.  In some circumstances the use of camera drones is a suitable alternative, as they are relatively quiet and unobtrusive.</w:t>
      </w:r>
    </w:p>
    <w:p w14:paraId="1FEB4548" w14:textId="77777777" w:rsidR="00CE7B9D" w:rsidRDefault="00CE7B9D" w:rsidP="00CE7B9D">
      <w:pPr>
        <w:pStyle w:val="WDBullets"/>
      </w:pPr>
      <w:r>
        <w:t>Surveys are conducted at 30–90 m above sea level and as slowly as possible (roughly 160 kph);</w:t>
      </w:r>
    </w:p>
    <w:p w14:paraId="1FCDA4F7" w14:textId="77777777" w:rsidR="00CE7B9D" w:rsidRDefault="00CE7B9D" w:rsidP="00CE7B9D">
      <w:pPr>
        <w:pStyle w:val="WDBullets"/>
      </w:pPr>
      <w:r>
        <w:t>Several overpasses of some bird colonies or cetacean pods may be required to cover the range of species;</w:t>
      </w:r>
    </w:p>
    <w:p w14:paraId="2F3E47FC" w14:textId="77777777" w:rsidR="00CE7B9D" w:rsidRDefault="00CE7B9D" w:rsidP="00CE7B9D">
      <w:pPr>
        <w:pStyle w:val="WDBullets"/>
      </w:pPr>
      <w:r>
        <w:t>Overflight of small islands will be restricted to 5 minutes overhead or less;</w:t>
      </w:r>
    </w:p>
    <w:p w14:paraId="035C677E" w14:textId="77777777" w:rsidR="00CE7B9D" w:rsidRDefault="00CE7B9D" w:rsidP="00CE7B9D">
      <w:pPr>
        <w:pStyle w:val="WDBullets"/>
      </w:pPr>
      <w:r>
        <w:t>Summer nesting bird surveys should be in the early morning, or late afternoon, to minimise heat stress on eggs and chicks.  During winter, a longer part of the day may be used; and</w:t>
      </w:r>
    </w:p>
    <w:p w14:paraId="0AFAF131" w14:textId="77777777" w:rsidR="00CE7B9D" w:rsidRDefault="00CE7B9D" w:rsidP="00CE7B9D">
      <w:pPr>
        <w:pStyle w:val="WDBullets"/>
      </w:pPr>
      <w:r>
        <w:t>During aerial surveys, a photographic record will be maintained, in addition to real-time voice records,</w:t>
      </w:r>
      <w:r w:rsidRPr="003132F7">
        <w:t xml:space="preserve"> giving information on species, number, behaviour, transect band and time.</w:t>
      </w:r>
      <w:r>
        <w:t xml:space="preserve">  </w:t>
      </w:r>
    </w:p>
    <w:p w14:paraId="68BB1AAA" w14:textId="0EC40071" w:rsidR="00BD608D" w:rsidRPr="0084142E" w:rsidRDefault="00BD608D" w:rsidP="00BD608D">
      <w:pPr>
        <w:pStyle w:val="WDBody"/>
      </w:pPr>
      <w:r>
        <w:t xml:space="preserve">The most practical method for recording observations is to use a good quality hands-free sound recorder that allows the observer to record notes without interruption observation.   An integrated microphone is commonly present on such devices, though a headset may be preferred if the level of ambient noise is high, as in a helicopter cabin.  The selection of recording device should be made accordingly.  </w:t>
      </w:r>
    </w:p>
    <w:p w14:paraId="373427EE" w14:textId="77777777" w:rsidR="00CE7B9D" w:rsidRPr="00CE7B9D" w:rsidRDefault="00CE7B9D" w:rsidP="00CE7B9D">
      <w:pPr>
        <w:pStyle w:val="WDBody"/>
      </w:pPr>
    </w:p>
    <w:p w14:paraId="3345A31D" w14:textId="77777777" w:rsidR="00CE7B9D" w:rsidRPr="00CE7B9D" w:rsidRDefault="00CE7B9D" w:rsidP="00CE7B9D">
      <w:pPr>
        <w:pStyle w:val="WDBody"/>
      </w:pPr>
    </w:p>
    <w:p w14:paraId="6A608EA9" w14:textId="77777777" w:rsidR="00CE7B9D" w:rsidRPr="00CE7B9D" w:rsidRDefault="00CE7B9D" w:rsidP="00CE7B9D">
      <w:pPr>
        <w:pStyle w:val="WDBody"/>
      </w:pPr>
    </w:p>
    <w:p w14:paraId="7EC5C3A4" w14:textId="77777777" w:rsidR="00CE7B9D" w:rsidRPr="00CE7B9D" w:rsidRDefault="00CE7B9D" w:rsidP="00CE7B9D">
      <w:pPr>
        <w:pStyle w:val="WDBody"/>
      </w:pPr>
    </w:p>
    <w:p w14:paraId="4AE95810" w14:textId="77777777" w:rsidR="00886026" w:rsidRDefault="00886026" w:rsidP="007517B5">
      <w:pPr>
        <w:pStyle w:val="WDBody"/>
      </w:pPr>
    </w:p>
    <w:p w14:paraId="20D422E1" w14:textId="60D0F239" w:rsidR="00177039" w:rsidRPr="007517B5" w:rsidRDefault="00177039" w:rsidP="00CE7B9D">
      <w:pPr>
        <w:pStyle w:val="Heading2"/>
        <w:sectPr w:rsidR="00177039" w:rsidRPr="007517B5" w:rsidSect="00825836">
          <w:pgSz w:w="11906" w:h="16838"/>
          <w:pgMar w:top="1417" w:right="1134" w:bottom="1134" w:left="1134" w:header="708" w:footer="708" w:gutter="0"/>
          <w:cols w:space="708"/>
          <w:docGrid w:linePitch="360"/>
        </w:sectPr>
      </w:pPr>
    </w:p>
    <w:p w14:paraId="066E053E" w14:textId="644C60C2" w:rsidR="00612093" w:rsidRDefault="00612093" w:rsidP="00AA00CB">
      <w:pPr>
        <w:pStyle w:val="Heading1"/>
      </w:pPr>
      <w:bookmarkStart w:id="36" w:name="_Hlk5972848"/>
      <w:bookmarkStart w:id="37" w:name="_Toc69458030"/>
      <w:r w:rsidRPr="0081217D">
        <w:lastRenderedPageBreak/>
        <w:t>Baseline reporting</w:t>
      </w:r>
      <w:bookmarkEnd w:id="37"/>
    </w:p>
    <w:p w14:paraId="43075CCB" w14:textId="77777777" w:rsidR="00F67EC4" w:rsidRDefault="00F67EC4" w:rsidP="00F67EC4">
      <w:pPr>
        <w:pStyle w:val="Heading2"/>
      </w:pPr>
      <w:bookmarkStart w:id="38" w:name="_Toc69458031"/>
      <w:r>
        <w:t>Analysis</w:t>
      </w:r>
      <w:bookmarkEnd w:id="38"/>
    </w:p>
    <w:p w14:paraId="0C7FAE71" w14:textId="77777777" w:rsidR="00F67EC4" w:rsidRDefault="00F67EC4" w:rsidP="00F67EC4">
      <w:pPr>
        <w:pStyle w:val="WDBody"/>
      </w:pPr>
      <w:r>
        <w:t>Organisms will be identified to functional species level (i.e. if the precise species cannot be determined, it is given a unique designation to which all similar individuals are assigned). This may require additional taxonomic expertise from international centres of excellence for specific faunal groups.  This level of consistency is required to allow the construction of species accumulation curves and estimation of the total number of species in the community.</w:t>
      </w:r>
    </w:p>
    <w:p w14:paraId="1953DE99" w14:textId="77777777" w:rsidR="00F67EC4" w:rsidRDefault="00F67EC4" w:rsidP="00F67EC4">
      <w:pPr>
        <w:pStyle w:val="WDBody"/>
      </w:pPr>
      <w:r>
        <w:t>Typically, ecological data will be subject to univariate, distributional and multivariate analyses.</w:t>
      </w:r>
    </w:p>
    <w:p w14:paraId="418F5A3D" w14:textId="77777777" w:rsidR="00F67EC4" w:rsidRDefault="00F67EC4" w:rsidP="00F67EC4">
      <w:pPr>
        <w:pStyle w:val="WDBullets"/>
      </w:pPr>
      <w:r>
        <w:t>Univariate analyses will include total number of individuals, total number of species, diversity (Shannon-Wiener Index H’), dominance (Simpson Index C), species richness (</w:t>
      </w:r>
      <w:proofErr w:type="spellStart"/>
      <w:r>
        <w:t>Margalef’s</w:t>
      </w:r>
      <w:proofErr w:type="spellEnd"/>
      <w:r>
        <w:t xml:space="preserve"> d) and evenness (</w:t>
      </w:r>
      <w:proofErr w:type="spellStart"/>
      <w:r>
        <w:t>Pielou</w:t>
      </w:r>
      <w:r>
        <w:rPr>
          <w:rFonts w:ascii="Calibri" w:hAnsi="Calibri" w:cs="Calibri"/>
        </w:rPr>
        <w:t>’</w:t>
      </w:r>
      <w:r>
        <w:t>s</w:t>
      </w:r>
      <w:proofErr w:type="spellEnd"/>
      <w:r>
        <w:t xml:space="preserve"> J</w:t>
      </w:r>
      <w:r>
        <w:rPr>
          <w:rFonts w:ascii="Calibri" w:hAnsi="Calibri" w:cs="Calibri"/>
        </w:rPr>
        <w:t>’</w:t>
      </w:r>
      <w:r>
        <w:t>). In general, such measures tend to be highly correlated and therefore there is limited value in calculating more indices, as they will show similar trends in the data.</w:t>
      </w:r>
    </w:p>
    <w:p w14:paraId="3385BB04" w14:textId="77777777" w:rsidR="00F67EC4" w:rsidRDefault="00F67EC4" w:rsidP="00F67EC4">
      <w:pPr>
        <w:pStyle w:val="WDBullets"/>
      </w:pPr>
      <w:r w:rsidRPr="001B5F88">
        <w:t xml:space="preserve">Diversity profiles can be visualised by plotting k-dominance </w:t>
      </w:r>
      <w:r>
        <w:t xml:space="preserve">distribution </w:t>
      </w:r>
      <w:r w:rsidRPr="001B5F88">
        <w:t>curves</w:t>
      </w:r>
      <w:r>
        <w:t>. These are useful for the future analysis of possible anthropogenic impacts that might disproportionately affect only part of the community.</w:t>
      </w:r>
    </w:p>
    <w:p w14:paraId="2C644EAA" w14:textId="77777777" w:rsidR="00F67EC4" w:rsidRDefault="00F67EC4" w:rsidP="00F67EC4">
      <w:pPr>
        <w:pStyle w:val="WDBullets"/>
      </w:pPr>
      <w:r>
        <w:t>Univariate and distributional analyses are useful as community-wide indicators, but are not based on the identity of species. Accordingly,</w:t>
      </w:r>
      <w:r w:rsidRPr="001B5F88">
        <w:t xml:space="preserve"> </w:t>
      </w:r>
      <w:r>
        <w:t>species dependent multivariate analysis of community structure is also required.  Non-parametric multi-dimensional scaling (MDS) ordination, employing the Bray-Curtis similarity measure is a commonly used analytical technique.  Dendrograms of similarity can then be constructed to show how the biota at different stations group together, allowing for distribution of different benthic assemblages and communities to be mapped.</w:t>
      </w:r>
    </w:p>
    <w:p w14:paraId="35BFB1F8" w14:textId="48A4A9F1" w:rsidR="00B322D6" w:rsidRPr="00B322D6" w:rsidRDefault="00F67EC4" w:rsidP="00456311">
      <w:pPr>
        <w:pStyle w:val="Heading2"/>
      </w:pPr>
      <w:bookmarkStart w:id="39" w:name="_Toc69458032"/>
      <w:r>
        <w:t>Reporting</w:t>
      </w:r>
      <w:bookmarkEnd w:id="39"/>
    </w:p>
    <w:p w14:paraId="6C9D0209" w14:textId="0140FCED" w:rsidR="00ED2C5D" w:rsidRPr="00794F35" w:rsidRDefault="00CE7B9D" w:rsidP="00CE7B9D">
      <w:pPr>
        <w:pStyle w:val="WDBody"/>
      </w:pPr>
      <w:r w:rsidRPr="00794F35">
        <w:t xml:space="preserve">The purpose of the baseline reporting is to document the ambient </w:t>
      </w:r>
      <w:proofErr w:type="spellStart"/>
      <w:r w:rsidRPr="00794F35">
        <w:t>physico</w:t>
      </w:r>
      <w:proofErr w:type="spellEnd"/>
      <w:r w:rsidRPr="00794F35">
        <w:t xml:space="preserve">-chemical and biotic environment of the project area prior to the start of construction works. </w:t>
      </w:r>
      <w:r>
        <w:t xml:space="preserve"> </w:t>
      </w:r>
      <w:r w:rsidRPr="00794F35">
        <w:t xml:space="preserve">It is therefore important that it be comprehensive, </w:t>
      </w:r>
      <w:r w:rsidR="00216A39">
        <w:t xml:space="preserve">and </w:t>
      </w:r>
      <w:r w:rsidRPr="00794F35">
        <w:t xml:space="preserve">statistically rigorous, </w:t>
      </w:r>
      <w:proofErr w:type="gramStart"/>
      <w:r w:rsidR="00216A39">
        <w:t>in order to</w:t>
      </w:r>
      <w:proofErr w:type="gramEnd"/>
      <w:r w:rsidR="00216A39">
        <w:t xml:space="preserve"> </w:t>
      </w:r>
      <w:r w:rsidRPr="00794F35">
        <w:t xml:space="preserve">form the basis of future monitoring programmes to determine any anthropogenic impact and to help design appropriate mitigation as required. </w:t>
      </w:r>
      <w:r>
        <w:t xml:space="preserve"> </w:t>
      </w:r>
      <w:r w:rsidRPr="00794F35">
        <w:t>The report will provide interpreted analysis of the data that is accessible to project decision makers going forward, but it is also important that the raw data be preserved in a format that will allow easy incorporation of supplementary data and re-analysis in future if desired.</w:t>
      </w:r>
    </w:p>
    <w:p w14:paraId="475979E5" w14:textId="17A67F44" w:rsidR="00F67EC4" w:rsidRPr="00794F35" w:rsidRDefault="00CE7B9D" w:rsidP="00F67EC4">
      <w:pPr>
        <w:pStyle w:val="WDBody"/>
      </w:pPr>
      <w:r w:rsidRPr="0084524B">
        <w:t xml:space="preserve">Given that </w:t>
      </w:r>
      <w:r>
        <w:t>thi</w:t>
      </w:r>
      <w:r w:rsidRPr="0084524B">
        <w:t>s will also form part of the baseline of future formal environmental assessm</w:t>
      </w:r>
      <w:r>
        <w:t>ents, IFC</w:t>
      </w:r>
      <w:r>
        <w:rPr>
          <w:rStyle w:val="FootnoteReference"/>
        </w:rPr>
        <w:footnoteReference w:id="12"/>
      </w:r>
      <w:r w:rsidRPr="00794F35">
        <w:rPr>
          <w:vertAlign w:val="superscript"/>
        </w:rPr>
        <w:t>,</w:t>
      </w:r>
      <w:r>
        <w:t xml:space="preserve"> </w:t>
      </w:r>
      <w:r>
        <w:rPr>
          <w:rStyle w:val="FootnoteReference"/>
        </w:rPr>
        <w:footnoteReference w:id="13"/>
      </w:r>
      <w:r>
        <w:t xml:space="preserve"> and EU</w:t>
      </w:r>
      <w:r>
        <w:rPr>
          <w:rStyle w:val="FootnoteReference"/>
        </w:rPr>
        <w:footnoteReference w:id="14"/>
      </w:r>
      <w:r>
        <w:t xml:space="preserve"> </w:t>
      </w:r>
      <w:r w:rsidRPr="0084524B">
        <w:t>guidance on baseline reporting will be followed.</w:t>
      </w:r>
      <w:r>
        <w:t xml:space="preserve">  </w:t>
      </w:r>
      <w:bookmarkStart w:id="40" w:name="appA_page"/>
      <w:bookmarkStart w:id="41" w:name="landscape_page"/>
      <w:bookmarkStart w:id="42" w:name="after_landscape_page"/>
      <w:bookmarkEnd w:id="20"/>
      <w:bookmarkEnd w:id="36"/>
      <w:bookmarkEnd w:id="40"/>
      <w:bookmarkEnd w:id="41"/>
      <w:bookmarkEnd w:id="42"/>
    </w:p>
    <w:p w14:paraId="53A57EBE" w14:textId="77777777" w:rsidR="00B322D6" w:rsidRPr="00F67EC4" w:rsidRDefault="00B322D6" w:rsidP="00456311">
      <w:pPr>
        <w:pStyle w:val="WDBody"/>
        <w:sectPr w:rsidR="00B322D6" w:rsidRPr="00F67EC4" w:rsidSect="00172B5A">
          <w:headerReference w:type="default" r:id="rId25"/>
          <w:footerReference w:type="default" r:id="rId26"/>
          <w:pgSz w:w="11906" w:h="16838" w:code="9"/>
          <w:pgMar w:top="1701" w:right="1134" w:bottom="1134" w:left="1134" w:header="737" w:footer="397" w:gutter="0"/>
          <w:cols w:space="708"/>
          <w:docGrid w:linePitch="360"/>
        </w:sectPr>
      </w:pPr>
    </w:p>
    <w:p w14:paraId="04088686" w14:textId="77777777" w:rsidR="000372EA" w:rsidRPr="00897650" w:rsidRDefault="00355D03" w:rsidP="00897650">
      <w:pPr>
        <w:pStyle w:val="WDBody"/>
        <w:rPr>
          <w:lang w:eastAsia="en-GB"/>
        </w:rPr>
      </w:pPr>
      <w:r w:rsidRPr="00635388">
        <w:rPr>
          <w:noProof/>
          <w:lang w:eastAsia="en-GB"/>
        </w:rPr>
        <w:lastRenderedPageBreak/>
        <w:drawing>
          <wp:anchor distT="0" distB="0" distL="114300" distR="114300" simplePos="0" relativeHeight="251658242" behindDoc="1" locked="0" layoutInCell="1" allowOverlap="1" wp14:anchorId="711E0508" wp14:editId="27B40AA1">
            <wp:simplePos x="0" y="0"/>
            <wp:positionH relativeFrom="page">
              <wp:posOffset>0</wp:posOffset>
            </wp:positionH>
            <wp:positionV relativeFrom="page">
              <wp:posOffset>2790190</wp:posOffset>
            </wp:positionV>
            <wp:extent cx="7560000" cy="70992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bstract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70992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27"/>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FD1C6" w14:textId="77777777" w:rsidR="002C12EA" w:rsidRDefault="002C12EA" w:rsidP="00F83584">
      <w:r>
        <w:separator/>
      </w:r>
    </w:p>
  </w:endnote>
  <w:endnote w:type="continuationSeparator" w:id="0">
    <w:p w14:paraId="4BE06E4D" w14:textId="77777777" w:rsidR="002C12EA" w:rsidRDefault="002C12EA" w:rsidP="00F83584">
      <w:r>
        <w:continuationSeparator/>
      </w:r>
    </w:p>
  </w:endnote>
  <w:endnote w:type="continuationNotice" w:id="1">
    <w:p w14:paraId="6737BCF7" w14:textId="77777777" w:rsidR="002C12EA" w:rsidRDefault="002C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0BC" w14:textId="185C7807" w:rsidR="002C12EA" w:rsidRPr="003670B0" w:rsidRDefault="002C12EA" w:rsidP="000C7F81">
    <w:pPr>
      <w:pStyle w:val="Footer"/>
    </w:pPr>
    <w:r>
      <w:rPr>
        <w:szCs w:val="26"/>
      </w:rPr>
      <w:t xml:space="preserve">  </w:t>
    </w:r>
  </w:p>
  <w:p w14:paraId="1FEAFA69" w14:textId="6A744327" w:rsidR="002C12EA" w:rsidRPr="003670B0" w:rsidRDefault="002C12EA" w:rsidP="000C7F81">
    <w:pPr>
      <w:pStyle w:val="Footer"/>
      <w:pBdr>
        <w:top w:val="single" w:sz="2" w:space="6" w:color="36353F" w:themeColor="text1"/>
      </w:pBdr>
    </w:pPr>
    <w:r w:rsidRPr="000C7F81">
      <w:rPr>
        <w:noProof/>
        <w:lang w:eastAsia="en-GB"/>
      </w:rPr>
      <w:drawing>
        <wp:anchor distT="0" distB="0" distL="114300" distR="114300" simplePos="0" relativeHeight="251665408" behindDoc="1" locked="0" layoutInCell="1" allowOverlap="1" wp14:anchorId="3DD2391F" wp14:editId="44E63DD7">
          <wp:simplePos x="0" y="0"/>
          <wp:positionH relativeFrom="page">
            <wp:posOffset>6192520</wp:posOffset>
          </wp:positionH>
          <wp:positionV relativeFrom="page">
            <wp:posOffset>10132695</wp:posOffset>
          </wp:positionV>
          <wp:extent cx="720000" cy="23040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BA103B">
      <w:t>April</w:t>
    </w:r>
    <w:r>
      <w:t xml:space="preserve"> 2021</w:t>
    </w:r>
  </w:p>
  <w:p w14:paraId="6DECB4C5" w14:textId="439C1185" w:rsidR="002C12EA" w:rsidRPr="000C7F81" w:rsidRDefault="002C12EA" w:rsidP="000C7F81">
    <w:pPr>
      <w:pStyle w:val="WDDocRef"/>
      <w:rPr>
        <w:color w:val="8A8B8D" w:themeColor="accent4"/>
        <w:sz w:val="14"/>
        <w:szCs w:val="14"/>
      </w:rPr>
    </w:pPr>
    <w:r w:rsidRPr="000C7F81">
      <w:rPr>
        <w:color w:val="8A8B8D" w:themeColor="accent4"/>
        <w:sz w:val="14"/>
        <w:szCs w:val="14"/>
      </w:rPr>
      <w:t xml:space="preserve">Doc Ref.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BDDF" w14:textId="12F9F596" w:rsidR="002C12EA" w:rsidRPr="003670B0" w:rsidRDefault="002C12EA" w:rsidP="00292AAA">
    <w:pPr>
      <w:pStyle w:val="Footer"/>
      <w:pBdr>
        <w:top w:val="single" w:sz="2" w:space="6" w:color="36353F" w:themeColor="text1"/>
      </w:pBdr>
    </w:pPr>
    <w:r>
      <w:rPr>
        <w:noProof/>
        <w:lang w:eastAsia="en-GB"/>
      </w:rPr>
      <w:drawing>
        <wp:anchor distT="0" distB="0" distL="114300" distR="114300" simplePos="0" relativeHeight="251658252" behindDoc="1" locked="0" layoutInCell="1" allowOverlap="1" wp14:anchorId="15C9D7E2" wp14:editId="7B6BAB3A">
          <wp:simplePos x="0" y="0"/>
          <wp:positionH relativeFrom="page">
            <wp:posOffset>6192520</wp:posOffset>
          </wp:positionH>
          <wp:positionV relativeFrom="page">
            <wp:posOffset>10123805</wp:posOffset>
          </wp:positionV>
          <wp:extent cx="720000" cy="230400"/>
          <wp:effectExtent l="0" t="0" r="444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1" behindDoc="1" locked="0" layoutInCell="1" allowOverlap="1" wp14:anchorId="6C94BDC3" wp14:editId="2140DF0C">
          <wp:simplePos x="0" y="0"/>
          <wp:positionH relativeFrom="column">
            <wp:posOffset>8598090</wp:posOffset>
          </wp:positionH>
          <wp:positionV relativeFrom="page">
            <wp:posOffset>6991577</wp:posOffset>
          </wp:positionV>
          <wp:extent cx="720000" cy="230400"/>
          <wp:effectExtent l="0" t="0" r="444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35B489F9" w14:textId="07FBF85D" w:rsidR="002C12EA" w:rsidRPr="00926A4E" w:rsidRDefault="002C12EA" w:rsidP="00EC7958">
    <w:pPr>
      <w:pStyle w:val="Footer"/>
    </w:pPr>
    <w:r>
      <w:rPr>
        <w:bCs/>
        <w:noProof/>
        <w:lang w:val="en-US"/>
      </w:rPr>
      <w:t xml:space="preserve">Doc Ref. </w:t>
    </w:r>
    <w:r>
      <w:rPr>
        <w:bCs/>
        <w:noProof/>
        <w:lang w:val="en-US"/>
      </w:rPr>
      <w:fldChar w:fldCharType="begin"/>
    </w:r>
    <w:r>
      <w:rPr>
        <w:bCs/>
        <w:noProof/>
        <w:lang w:val="en-US"/>
      </w:rPr>
      <w:instrText xml:space="preserve"> STYLEREF  "WD Doc Ref"  \* MERGEFORMAT </w:instrText>
    </w:r>
    <w:r>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3669" w14:textId="77777777" w:rsidR="002C12EA" w:rsidRDefault="002C12EA" w:rsidP="00F83584">
      <w:r>
        <w:separator/>
      </w:r>
    </w:p>
  </w:footnote>
  <w:footnote w:type="continuationSeparator" w:id="0">
    <w:p w14:paraId="2E30A4F5" w14:textId="77777777" w:rsidR="002C12EA" w:rsidRDefault="002C12EA" w:rsidP="00F83584">
      <w:r>
        <w:continuationSeparator/>
      </w:r>
    </w:p>
  </w:footnote>
  <w:footnote w:type="continuationNotice" w:id="1">
    <w:p w14:paraId="5FD36FA6" w14:textId="77777777" w:rsidR="002C12EA" w:rsidRDefault="002C12EA"/>
  </w:footnote>
  <w:footnote w:id="2">
    <w:p w14:paraId="6AF00FC3" w14:textId="77777777" w:rsidR="002C12EA" w:rsidRPr="00E3697A" w:rsidRDefault="002C12EA" w:rsidP="001534AB">
      <w:pPr>
        <w:pStyle w:val="FootnoteText"/>
        <w:rPr>
          <w:rStyle w:val="BodyChar"/>
        </w:rPr>
      </w:pPr>
      <w:r>
        <w:rPr>
          <w:rStyle w:val="FootnoteReference"/>
        </w:rPr>
        <w:footnoteRef/>
      </w:r>
      <w:r>
        <w:t xml:space="preserve"> </w:t>
      </w:r>
      <w:r w:rsidRPr="00E3697A">
        <w:rPr>
          <w:rStyle w:val="BodyChar"/>
        </w:rPr>
        <w:t>OSPAR Commission (2013) JAMP Guidelines for Monitoring of Contaminants in Seawater</w:t>
      </w:r>
    </w:p>
  </w:footnote>
  <w:footnote w:id="3">
    <w:p w14:paraId="169995A4" w14:textId="77777777" w:rsidR="002C12EA" w:rsidRDefault="002C12EA" w:rsidP="001534AB">
      <w:pPr>
        <w:pStyle w:val="FootnoteText"/>
      </w:pPr>
      <w:r>
        <w:rPr>
          <w:rStyle w:val="FootnoteReference"/>
        </w:rPr>
        <w:footnoteRef/>
      </w:r>
      <w:r>
        <w:t xml:space="preserve"> PERSGA/GEF (2019) Standard Survey Methods for Key Habitats and Key Species in the Red Sea and Gulf of Aden, 2</w:t>
      </w:r>
      <w:r w:rsidRPr="00E3697A">
        <w:rPr>
          <w:vertAlign w:val="superscript"/>
        </w:rPr>
        <w:t>nd</w:t>
      </w:r>
      <w:r>
        <w:t xml:space="preserve"> Edition. PERSGA Technical Series No. 19, PERSGA, Jeddah.</w:t>
      </w:r>
    </w:p>
  </w:footnote>
  <w:footnote w:id="4">
    <w:p w14:paraId="4DA292AE" w14:textId="77777777" w:rsidR="002C12EA" w:rsidRDefault="002C12EA" w:rsidP="00CE7B9D">
      <w:pPr>
        <w:pStyle w:val="FootnoteText"/>
      </w:pPr>
      <w:r>
        <w:rPr>
          <w:rStyle w:val="FootnoteReference"/>
        </w:rPr>
        <w:footnoteRef/>
      </w:r>
      <w:r>
        <w:t xml:space="preserve"> Noble-James, T., Jesus, A. &amp; </w:t>
      </w:r>
      <w:proofErr w:type="spellStart"/>
      <w:r>
        <w:t>McBreen</w:t>
      </w:r>
      <w:proofErr w:type="spellEnd"/>
      <w:r>
        <w:t>, F (2017)</w:t>
      </w:r>
      <w:r w:rsidRPr="00A21A52">
        <w:t xml:space="preserve"> </w:t>
      </w:r>
      <w:r>
        <w:t>Monitoring guidance for marine benthic habitats</w:t>
      </w:r>
      <w:r w:rsidRPr="00A21A52">
        <w:t xml:space="preserve"> </w:t>
      </w:r>
      <w:r>
        <w:t>Joint Nature Conservation Committee Report No: 598 July 2017 (Revised June 2018)</w:t>
      </w:r>
    </w:p>
  </w:footnote>
  <w:footnote w:id="5">
    <w:p w14:paraId="70E1ECB5" w14:textId="77777777" w:rsidR="002C12EA" w:rsidRDefault="002C12EA" w:rsidP="00CE7B9D">
      <w:pPr>
        <w:pStyle w:val="FootnoteText"/>
      </w:pPr>
      <w:r>
        <w:rPr>
          <w:rStyle w:val="FootnoteReference"/>
        </w:rPr>
        <w:footnoteRef/>
      </w:r>
      <w:r>
        <w:t xml:space="preserve"> CEFAS (2004) Sampling and analysis of the </w:t>
      </w:r>
      <w:proofErr w:type="spellStart"/>
      <w:r>
        <w:t>macrobenthic</w:t>
      </w:r>
      <w:proofErr w:type="spellEnd"/>
      <w:r>
        <w:t xml:space="preserve"> infauna from soft sediments.  Centre for Environment, Fisheries and Aquaculture Studies Standard Operating Procedure 1381</w:t>
      </w:r>
    </w:p>
  </w:footnote>
  <w:footnote w:id="6">
    <w:p w14:paraId="222BBE7C" w14:textId="77777777" w:rsidR="002C12EA" w:rsidRDefault="002C12EA" w:rsidP="00BD608D">
      <w:pPr>
        <w:pStyle w:val="FootnoteText"/>
      </w:pPr>
      <w:r>
        <w:rPr>
          <w:rStyle w:val="FootnoteReference"/>
        </w:rPr>
        <w:footnoteRef/>
      </w:r>
      <w:r>
        <w:t xml:space="preserve"> A solution of dimethyl </w:t>
      </w:r>
      <w:proofErr w:type="spellStart"/>
      <w:r>
        <w:t>sulphoxide</w:t>
      </w:r>
      <w:proofErr w:type="spellEnd"/>
      <w:r>
        <w:t>, disodium EDTA, and saturated NaCl</w:t>
      </w:r>
    </w:p>
  </w:footnote>
  <w:footnote w:id="7">
    <w:p w14:paraId="7FDA766E" w14:textId="77777777" w:rsidR="002C12EA" w:rsidRDefault="002C12EA" w:rsidP="00CE7B9D">
      <w:pPr>
        <w:pStyle w:val="FootnoteText"/>
      </w:pPr>
      <w:r>
        <w:rPr>
          <w:rStyle w:val="FootnoteReference"/>
        </w:rPr>
        <w:footnoteRef/>
      </w:r>
      <w:r>
        <w:t xml:space="preserve"> English, S., Wilkinson, C. and Baker, V. (1997) Survey manual for tropical marine resources, 2nd edition, Australian Institute of Marine Science, Townsville, 390pp</w:t>
      </w:r>
    </w:p>
  </w:footnote>
  <w:footnote w:id="8">
    <w:p w14:paraId="7AFE5464" w14:textId="77777777" w:rsidR="002C12EA" w:rsidRDefault="002C12EA" w:rsidP="00CE7B9D">
      <w:pPr>
        <w:pStyle w:val="FootnoteText"/>
      </w:pPr>
      <w:r>
        <w:rPr>
          <w:rStyle w:val="FootnoteReference"/>
        </w:rPr>
        <w:footnoteRef/>
      </w:r>
      <w:r>
        <w:t xml:space="preserve"> </w:t>
      </w:r>
      <w:proofErr w:type="spellStart"/>
      <w:r w:rsidRPr="00970D2C">
        <w:t>Obura</w:t>
      </w:r>
      <w:proofErr w:type="spellEnd"/>
      <w:r w:rsidRPr="00970D2C">
        <w:t xml:space="preserve">, David &amp; </w:t>
      </w:r>
      <w:proofErr w:type="spellStart"/>
      <w:r w:rsidRPr="00970D2C">
        <w:t>Grimsditch</w:t>
      </w:r>
      <w:proofErr w:type="spellEnd"/>
      <w:r w:rsidRPr="00970D2C">
        <w:t xml:space="preserve">, Gabriel. (2009). Coral Reefs, Climate Change and Resilience </w:t>
      </w:r>
      <w:proofErr w:type="gramStart"/>
      <w:r w:rsidRPr="00970D2C">
        <w:t>An</w:t>
      </w:r>
      <w:proofErr w:type="gramEnd"/>
      <w:r w:rsidRPr="00970D2C">
        <w:t xml:space="preserve"> Agenda for Action from the IUCN World Conservation Congress in Barcelona, Spain.</w:t>
      </w:r>
    </w:p>
  </w:footnote>
  <w:footnote w:id="9">
    <w:p w14:paraId="09F8790B" w14:textId="77777777" w:rsidR="002C12EA" w:rsidRDefault="002C12EA" w:rsidP="00CE7B9D">
      <w:pPr>
        <w:pStyle w:val="FootnoteText"/>
      </w:pPr>
      <w:r>
        <w:rPr>
          <w:rStyle w:val="FootnoteReference"/>
        </w:rPr>
        <w:footnoteRef/>
      </w:r>
      <w:r>
        <w:t xml:space="preserve"> McKenzie L.J., Campbell S.J. &amp; Order C.A. (2001) Seagrass- Watch Manual for Mapping &amp; Monitoring Seagrass Resources by Community (citizen) volunteers (QFS, NFC, Cairns). 100p</w:t>
      </w:r>
    </w:p>
  </w:footnote>
  <w:footnote w:id="10">
    <w:p w14:paraId="57310F94" w14:textId="5422EB79" w:rsidR="002C12EA" w:rsidRDefault="002C12EA" w:rsidP="00BE04B0">
      <w:pPr>
        <w:pStyle w:val="FootnoteText"/>
      </w:pPr>
      <w:r>
        <w:rPr>
          <w:rStyle w:val="FootnoteReference"/>
        </w:rPr>
        <w:footnoteRef/>
      </w:r>
      <w:r>
        <w:t xml:space="preserve"> OSPAR (2012)</w:t>
      </w:r>
      <w:r w:rsidRPr="00BE04B0">
        <w:t xml:space="preserve"> </w:t>
      </w:r>
      <w:r>
        <w:t>JAMP Eutrophication Monitoring Guidelines: Benthos. OSPAR Commission Agreement 2012-12</w:t>
      </w:r>
    </w:p>
  </w:footnote>
  <w:footnote w:id="11">
    <w:p w14:paraId="5803A2EA" w14:textId="77777777" w:rsidR="002C12EA" w:rsidRDefault="002C12EA" w:rsidP="00CE7B9D">
      <w:pPr>
        <w:pStyle w:val="FootnoteText"/>
      </w:pPr>
      <w:r>
        <w:rPr>
          <w:rStyle w:val="FootnoteReference"/>
        </w:rPr>
        <w:footnoteRef/>
      </w:r>
      <w:r>
        <w:t xml:space="preserve"> </w:t>
      </w:r>
      <w:proofErr w:type="spellStart"/>
      <w:r>
        <w:t>Camphuysen</w:t>
      </w:r>
      <w:proofErr w:type="spellEnd"/>
      <w:r>
        <w:t xml:space="preserve">, C. J., Fox, A. D., Leopold, M. F. and Petersen, I. K. (2004). Towards standardised seabirds at sea census techniques in connection with environmental impact assessments for offshore wind farms in the U.K. A Comparison of Ship and Aerial Sampling Methods for Marine Birds, and Their Applicability to Offshore Wind Farm Assessments. </w:t>
      </w:r>
      <w:proofErr w:type="spellStart"/>
      <w:r>
        <w:t>Koninklijk</w:t>
      </w:r>
      <w:proofErr w:type="spellEnd"/>
      <w:r>
        <w:t xml:space="preserve"> </w:t>
      </w:r>
      <w:proofErr w:type="spellStart"/>
      <w:r>
        <w:t>Nederlands</w:t>
      </w:r>
      <w:proofErr w:type="spellEnd"/>
      <w:r>
        <w:t xml:space="preserve"> </w:t>
      </w:r>
      <w:proofErr w:type="spellStart"/>
      <w:r>
        <w:t>Instituut</w:t>
      </w:r>
      <w:proofErr w:type="spellEnd"/>
      <w:r>
        <w:t xml:space="preserve"> </w:t>
      </w:r>
      <w:proofErr w:type="spellStart"/>
      <w:r>
        <w:t>voor</w:t>
      </w:r>
      <w:proofErr w:type="spellEnd"/>
      <w:r>
        <w:t xml:space="preserve"> </w:t>
      </w:r>
      <w:proofErr w:type="spellStart"/>
      <w:r>
        <w:t>Onderzoek</w:t>
      </w:r>
      <w:proofErr w:type="spellEnd"/>
      <w:r>
        <w:t xml:space="preserve"> der Zee Report commissioned by COWRIE.</w:t>
      </w:r>
    </w:p>
  </w:footnote>
  <w:footnote w:id="12">
    <w:p w14:paraId="5E8D37E8" w14:textId="77777777" w:rsidR="002C12EA" w:rsidRDefault="002C12EA" w:rsidP="00CE7B9D">
      <w:pPr>
        <w:pStyle w:val="FootnoteText"/>
      </w:pPr>
      <w:r>
        <w:rPr>
          <w:rStyle w:val="FootnoteReference"/>
        </w:rPr>
        <w:footnoteRef/>
      </w:r>
      <w:r>
        <w:t xml:space="preserve"> International Finance Corporation (2012)</w:t>
      </w:r>
      <w:r w:rsidRPr="0084524B">
        <w:t xml:space="preserve"> </w:t>
      </w:r>
      <w:r>
        <w:t>Guidance Note 1 Assessment and Management of Environmental and Social Risks and Impacts</w:t>
      </w:r>
    </w:p>
  </w:footnote>
  <w:footnote w:id="13">
    <w:p w14:paraId="6AA6A21C" w14:textId="77777777" w:rsidR="002C12EA" w:rsidRDefault="002C12EA" w:rsidP="00CE7B9D">
      <w:pPr>
        <w:pStyle w:val="FootnoteText"/>
      </w:pPr>
      <w:r>
        <w:rPr>
          <w:rStyle w:val="FootnoteReference"/>
        </w:rPr>
        <w:footnoteRef/>
      </w:r>
      <w:r>
        <w:t xml:space="preserve"> International Finance Corporation (2019)</w:t>
      </w:r>
      <w:r w:rsidRPr="0084524B">
        <w:t xml:space="preserve"> </w:t>
      </w:r>
      <w:r>
        <w:t>Guidance Note 6 Biodiversity Conservation and Sustainable Management of Living Natural Resources</w:t>
      </w:r>
    </w:p>
  </w:footnote>
  <w:footnote w:id="14">
    <w:p w14:paraId="15A5FC6B" w14:textId="77777777" w:rsidR="002C12EA" w:rsidRDefault="002C12EA" w:rsidP="00CE7B9D">
      <w:pPr>
        <w:pStyle w:val="FootnoteText"/>
      </w:pPr>
      <w:r>
        <w:rPr>
          <w:rStyle w:val="FootnoteReference"/>
        </w:rPr>
        <w:footnoteRef/>
      </w:r>
      <w:r>
        <w:t xml:space="preserve"> European Commission (2017) Guidance on the preparation of the Environmental Impact Assessment Report</w:t>
      </w:r>
    </w:p>
    <w:p w14:paraId="1BD14C19" w14:textId="77777777" w:rsidR="002C12EA" w:rsidRDefault="002C12EA" w:rsidP="00CE7B9D">
      <w:pPr>
        <w:pStyle w:val="FootnoteText"/>
      </w:pPr>
      <w:r>
        <w:t>(Directive 2011/92/EU as amended by 2014/52/EU)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EAE" w14:textId="20B9A1F4" w:rsidR="002C12EA" w:rsidRPr="002A4225" w:rsidRDefault="002C12EA" w:rsidP="002A4225">
    <w:pPr>
      <w:pStyle w:val="Header"/>
    </w:pPr>
    <w:r w:rsidRPr="001059C9">
      <w:rPr>
        <w:noProof/>
        <w:lang w:eastAsia="en-GB"/>
      </w:rPr>
      <w:drawing>
        <wp:anchor distT="0" distB="0" distL="114300" distR="114300" simplePos="0" relativeHeight="251658256" behindDoc="0" locked="0" layoutInCell="1" allowOverlap="1" wp14:anchorId="2C2BDDC1" wp14:editId="205CD18B">
          <wp:simplePos x="0" y="0"/>
          <wp:positionH relativeFrom="column">
            <wp:posOffset>-213019</wp:posOffset>
          </wp:positionH>
          <wp:positionV relativeFrom="paragraph">
            <wp:posOffset>-363220</wp:posOffset>
          </wp:positionV>
          <wp:extent cx="3218213" cy="187089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18213" cy="18708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476EE0F8" wp14:editId="03B966C9">
          <wp:simplePos x="0" y="0"/>
          <wp:positionH relativeFrom="page">
            <wp:posOffset>5220970</wp:posOffset>
          </wp:positionH>
          <wp:positionV relativeFrom="page">
            <wp:posOffset>0</wp:posOffset>
          </wp:positionV>
          <wp:extent cx="2340000" cy="12132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2">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CD84" w14:textId="77777777" w:rsidR="002C12EA" w:rsidRDefault="002C12EA" w:rsidP="0077229A">
    <w:pPr>
      <w:pStyle w:val="Header"/>
    </w:pPr>
  </w:p>
  <w:p w14:paraId="1F473C1C" w14:textId="77777777" w:rsidR="002C12EA" w:rsidRDefault="002C12EA" w:rsidP="0077229A">
    <w:pPr>
      <w:pStyle w:val="Header"/>
    </w:pPr>
  </w:p>
  <w:sdt>
    <w:sdtPr>
      <w:id w:val="20770035"/>
      <w:docPartObj>
        <w:docPartGallery w:val="Page Numbers (Top of Page)"/>
        <w:docPartUnique/>
      </w:docPartObj>
    </w:sdtPr>
    <w:sdtEndPr>
      <w:rPr>
        <w:szCs w:val="12"/>
      </w:rPr>
    </w:sdtEndPr>
    <w:sdtContent>
      <w:p w14:paraId="10AA188D" w14:textId="7A1FD4AD" w:rsidR="002C12EA" w:rsidRDefault="002C12EA" w:rsidP="0077229A">
        <w:pPr>
          <w:pStyle w:val="Header"/>
        </w:pPr>
        <w:r>
          <w:rPr>
            <w:noProof/>
            <w:lang w:eastAsia="en-GB"/>
          </w:rPr>
          <w:drawing>
            <wp:anchor distT="0" distB="0" distL="114300" distR="114300" simplePos="0" relativeHeight="251658242" behindDoc="1" locked="0" layoutInCell="1" allowOverlap="1" wp14:anchorId="7AA8D494" wp14:editId="39F02E5F">
              <wp:simplePos x="0" y="0"/>
              <wp:positionH relativeFrom="column">
                <wp:posOffset>5400675</wp:posOffset>
              </wp:positionH>
              <wp:positionV relativeFrom="page">
                <wp:posOffset>396240</wp:posOffset>
              </wp:positionV>
              <wp:extent cx="720000" cy="230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4E2FCF0C" wp14:editId="54F33545">
                  <wp:simplePos x="0" y="0"/>
                  <wp:positionH relativeFrom="page">
                    <wp:posOffset>720090</wp:posOffset>
                  </wp:positionH>
                  <wp:positionV relativeFrom="page">
                    <wp:posOffset>370840</wp:posOffset>
                  </wp:positionV>
                  <wp:extent cx="360000" cy="360000"/>
                  <wp:effectExtent l="0" t="0" r="2540" b="2540"/>
                  <wp:wrapNone/>
                  <wp:docPr id="19" name="Oval 1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4D6DE" id="Oval 19" o:spid="_x0000_s1026" style="position:absolute;margin-left:56.7pt;margin-top:29.2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" fillcolor="#884c91 [3215]"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14</w:t>
        </w:r>
        <w:r w:rsidRPr="00910835">
          <w:rPr>
            <w:rStyle w:val="PageNumber"/>
          </w:rPr>
          <w:fldChar w:fldCharType="end"/>
        </w:r>
        <w:r w:rsidRPr="00910835">
          <w:tab/>
          <w:t xml:space="preserve">© </w:t>
        </w:r>
        <w:r w:rsidRPr="00F207F8">
          <w:t>Amec Foster Wheeler Energy and Partners Engineering Company</w:t>
        </w:r>
        <w:r>
          <w:tab/>
        </w:r>
      </w:p>
      <w:p w14:paraId="6D1FFD35" w14:textId="77777777" w:rsidR="002C12EA" w:rsidRPr="00230B07" w:rsidRDefault="002C12EA" w:rsidP="00461614">
        <w:pPr>
          <w:pStyle w:val="Header"/>
          <w:rPr>
            <w:b/>
            <w:color w:val="FF0000"/>
            <w:sz w:val="20"/>
            <w:szCs w:val="20"/>
          </w:rPr>
        </w:pPr>
        <w:r>
          <w:rPr>
            <w:b/>
            <w:color w:val="FF0000"/>
            <w:sz w:val="20"/>
            <w:szCs w:val="20"/>
          </w:rPr>
          <w:t xml:space="preserve">             Draft - see disclaimer</w:t>
        </w:r>
      </w:p>
      <w:p w14:paraId="7F41DC40" w14:textId="77777777" w:rsidR="002C12EA" w:rsidRPr="0077229A" w:rsidRDefault="002C12EA" w:rsidP="00461614">
        <w:pPr>
          <w:pStyle w:val="Header"/>
          <w:rPr>
            <w:b/>
            <w:caps/>
            <w:color w:val="FF0000"/>
            <w:sz w:val="20"/>
            <w:szCs w:val="20"/>
          </w:rPr>
        </w:pPr>
      </w:p>
      <w:p w14:paraId="2410896E" w14:textId="4567A07A" w:rsidR="002C12EA" w:rsidRPr="0077229A" w:rsidRDefault="00FF0E64"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7981"/>
      <w:docPartObj>
        <w:docPartGallery w:val="Page Numbers (Top of Page)"/>
        <w:docPartUnique/>
      </w:docPartObj>
    </w:sdtPr>
    <w:sdtEndPr>
      <w:rPr>
        <w:szCs w:val="12"/>
      </w:rPr>
    </w:sdtEndPr>
    <w:sdtContent>
      <w:p w14:paraId="24F03ADE" w14:textId="4D99A6C5" w:rsidR="002C12EA" w:rsidRDefault="002C12EA" w:rsidP="0077229A">
        <w:pPr>
          <w:pStyle w:val="Header"/>
        </w:pPr>
        <w:r>
          <w:rPr>
            <w:noProof/>
            <w:lang w:eastAsia="en-GB"/>
          </w:rPr>
          <mc:AlternateContent>
            <mc:Choice Requires="wps">
              <w:drawing>
                <wp:anchor distT="0" distB="0" distL="114300" distR="114300" simplePos="0" relativeHeight="251658249" behindDoc="1" locked="0" layoutInCell="1" allowOverlap="1" wp14:anchorId="3D4564C9" wp14:editId="2A385733">
                  <wp:simplePos x="0" y="0"/>
                  <wp:positionH relativeFrom="page">
                    <wp:posOffset>720090</wp:posOffset>
                  </wp:positionH>
                  <wp:positionV relativeFrom="page">
                    <wp:posOffset>370840</wp:posOffset>
                  </wp:positionV>
                  <wp:extent cx="360000" cy="360000"/>
                  <wp:effectExtent l="0" t="0" r="2540" b="2540"/>
                  <wp:wrapNone/>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E4968" id="Oval 32" o:spid="_x0000_s1026" style="position:absolute;margin-left:56.7pt;margin-top:29.2pt;width:28.35pt;height:28.3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16</w:t>
        </w:r>
        <w:r w:rsidRPr="00910835">
          <w:rPr>
            <w:rStyle w:val="PageNumber"/>
          </w:rPr>
          <w:fldChar w:fldCharType="end"/>
        </w:r>
        <w:r w:rsidRPr="00910835">
          <w:tab/>
          <w:t xml:space="preserve">© </w:t>
        </w:r>
        <w:r w:rsidRPr="0077229A">
          <w:t>Wood Environment &amp; Infrastructure Solutions UK Limited</w:t>
        </w:r>
        <w:r>
          <w:rPr>
            <w:noProof/>
            <w:lang w:eastAsia="en-GB"/>
          </w:rPr>
          <w:drawing>
            <wp:anchor distT="0" distB="0" distL="114300" distR="114300" simplePos="0" relativeHeight="251658250" behindDoc="1" locked="0" layoutInCell="1" allowOverlap="1" wp14:anchorId="4E7613BF" wp14:editId="22E06686">
              <wp:simplePos x="0" y="0"/>
              <wp:positionH relativeFrom="column">
                <wp:posOffset>5400675</wp:posOffset>
              </wp:positionH>
              <wp:positionV relativeFrom="page">
                <wp:posOffset>396240</wp:posOffset>
              </wp:positionV>
              <wp:extent cx="720000" cy="230400"/>
              <wp:effectExtent l="0" t="0" r="444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p>
      <w:p w14:paraId="1A4B5D94" w14:textId="77777777" w:rsidR="002C12EA" w:rsidRPr="00230B07" w:rsidRDefault="002C12EA" w:rsidP="00461614">
        <w:pPr>
          <w:pStyle w:val="Header"/>
          <w:rPr>
            <w:b/>
            <w:color w:val="FF0000"/>
            <w:sz w:val="20"/>
            <w:szCs w:val="20"/>
          </w:rPr>
        </w:pPr>
        <w:r>
          <w:rPr>
            <w:b/>
            <w:color w:val="FF0000"/>
            <w:sz w:val="20"/>
            <w:szCs w:val="20"/>
          </w:rPr>
          <w:t xml:space="preserve">             Draft - see disclaimer</w:t>
        </w:r>
      </w:p>
      <w:p w14:paraId="5851BB53" w14:textId="77777777" w:rsidR="002C12EA" w:rsidRPr="0077229A" w:rsidRDefault="002C12EA" w:rsidP="00461614">
        <w:pPr>
          <w:pStyle w:val="Header"/>
          <w:rPr>
            <w:b/>
            <w:caps/>
            <w:color w:val="FF0000"/>
            <w:sz w:val="20"/>
            <w:szCs w:val="20"/>
          </w:rPr>
        </w:pPr>
      </w:p>
      <w:p w14:paraId="383E1459" w14:textId="77777777" w:rsidR="002C12EA" w:rsidRPr="0077229A" w:rsidRDefault="00FF0E64" w:rsidP="0077229A">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37647"/>
      <w:docPartObj>
        <w:docPartGallery w:val="Page Numbers (Top of Page)"/>
        <w:docPartUnique/>
      </w:docPartObj>
    </w:sdtPr>
    <w:sdtEndPr>
      <w:rPr>
        <w:szCs w:val="12"/>
      </w:rPr>
    </w:sdtEndPr>
    <w:sdtContent>
      <w:p w14:paraId="7D148F63" w14:textId="77777777" w:rsidR="002C12EA" w:rsidRPr="00C253D7" w:rsidRDefault="002C12EA" w:rsidP="0098585E">
        <w:pPr>
          <w:pStyle w:val="Header"/>
          <w:rPr>
            <w:b/>
            <w:color w:val="auto"/>
          </w:rPr>
        </w:pPr>
        <w:r>
          <w:rPr>
            <w:noProof/>
            <w:lang w:eastAsia="en-GB"/>
          </w:rPr>
          <w:drawing>
            <wp:anchor distT="0" distB="0" distL="114300" distR="114300" simplePos="0" relativeHeight="251658243" behindDoc="1" locked="0" layoutInCell="1" allowOverlap="1" wp14:anchorId="32E326ED" wp14:editId="4F592052">
              <wp:simplePos x="0" y="0"/>
              <wp:positionH relativeFrom="page">
                <wp:posOffset>5216045</wp:posOffset>
              </wp:positionH>
              <wp:positionV relativeFrom="page">
                <wp:posOffset>-16881</wp:posOffset>
              </wp:positionV>
              <wp:extent cx="2340000" cy="12132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9E3C3D"/>
    <w:multiLevelType w:val="hybridMultilevel"/>
    <w:tmpl w:val="DA66FCCE"/>
    <w:lvl w:ilvl="0" w:tplc="E6E200C4">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465E1"/>
    <w:multiLevelType w:val="singleLevel"/>
    <w:tmpl w:val="A10E0976"/>
    <w:lvl w:ilvl="0">
      <w:start w:val="1"/>
      <w:numFmt w:val="decimal"/>
      <w:pStyle w:val="numberlist"/>
      <w:lvlText w:val="(%1)"/>
      <w:lvlJc w:val="left"/>
      <w:pPr>
        <w:tabs>
          <w:tab w:val="num" w:pos="0"/>
        </w:tabs>
        <w:ind w:left="0" w:hanging="360"/>
      </w:pPr>
      <w:rPr>
        <w:rFonts w:cs="Times New Roman" w:hint="default"/>
      </w:rPr>
    </w:lvl>
  </w:abstractNum>
  <w:abstractNum w:abstractNumId="3"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72780"/>
    <w:multiLevelType w:val="hybridMultilevel"/>
    <w:tmpl w:val="1ECC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6" w15:restartNumberingAfterBreak="0">
    <w:nsid w:val="433456F1"/>
    <w:multiLevelType w:val="hybridMultilevel"/>
    <w:tmpl w:val="6F84A9DC"/>
    <w:lvl w:ilvl="0" w:tplc="D7DA8670">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55D04EED"/>
    <w:multiLevelType w:val="hybridMultilevel"/>
    <w:tmpl w:val="6D528608"/>
    <w:lvl w:ilvl="0" w:tplc="47A059B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52210"/>
    <w:multiLevelType w:val="hybridMultilevel"/>
    <w:tmpl w:val="09E61592"/>
    <w:lvl w:ilvl="0" w:tplc="802A3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78FE7124"/>
    <w:multiLevelType w:val="hybridMultilevel"/>
    <w:tmpl w:val="9FD2E034"/>
    <w:lvl w:ilvl="0" w:tplc="E3D27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7C8F5CEA"/>
    <w:multiLevelType w:val="hybridMultilevel"/>
    <w:tmpl w:val="878A4B24"/>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start w:val="1"/>
      <w:numFmt w:val="bullet"/>
      <w:lvlText w:val=""/>
      <w:lvlJc w:val="left"/>
      <w:pPr>
        <w:ind w:left="2355" w:hanging="360"/>
      </w:pPr>
      <w:rPr>
        <w:rFonts w:ascii="Wingdings" w:hAnsi="Wingdings" w:hint="default"/>
      </w:rPr>
    </w:lvl>
    <w:lvl w:ilvl="3" w:tplc="08090001">
      <w:start w:val="1"/>
      <w:numFmt w:val="bullet"/>
      <w:lvlText w:val=""/>
      <w:lvlJc w:val="left"/>
      <w:pPr>
        <w:ind w:left="3075" w:hanging="360"/>
      </w:pPr>
      <w:rPr>
        <w:rFonts w:ascii="Symbol" w:hAnsi="Symbol" w:hint="default"/>
      </w:rPr>
    </w:lvl>
    <w:lvl w:ilvl="4" w:tplc="08090003">
      <w:start w:val="1"/>
      <w:numFmt w:val="bullet"/>
      <w:lvlText w:val="o"/>
      <w:lvlJc w:val="left"/>
      <w:pPr>
        <w:ind w:left="3795" w:hanging="360"/>
      </w:pPr>
      <w:rPr>
        <w:rFonts w:ascii="Courier New" w:hAnsi="Courier New" w:cs="Courier New" w:hint="default"/>
      </w:rPr>
    </w:lvl>
    <w:lvl w:ilvl="5" w:tplc="08090005">
      <w:start w:val="1"/>
      <w:numFmt w:val="bullet"/>
      <w:lvlText w:val=""/>
      <w:lvlJc w:val="left"/>
      <w:pPr>
        <w:ind w:left="4515" w:hanging="360"/>
      </w:pPr>
      <w:rPr>
        <w:rFonts w:ascii="Wingdings" w:hAnsi="Wingdings" w:hint="default"/>
      </w:rPr>
    </w:lvl>
    <w:lvl w:ilvl="6" w:tplc="08090001">
      <w:start w:val="1"/>
      <w:numFmt w:val="bullet"/>
      <w:lvlText w:val=""/>
      <w:lvlJc w:val="left"/>
      <w:pPr>
        <w:ind w:left="5235" w:hanging="360"/>
      </w:pPr>
      <w:rPr>
        <w:rFonts w:ascii="Symbol" w:hAnsi="Symbol" w:hint="default"/>
      </w:rPr>
    </w:lvl>
    <w:lvl w:ilvl="7" w:tplc="08090003">
      <w:start w:val="1"/>
      <w:numFmt w:val="bullet"/>
      <w:lvlText w:val="o"/>
      <w:lvlJc w:val="left"/>
      <w:pPr>
        <w:ind w:left="5955" w:hanging="360"/>
      </w:pPr>
      <w:rPr>
        <w:rFonts w:ascii="Courier New" w:hAnsi="Courier New" w:cs="Courier New" w:hint="default"/>
      </w:rPr>
    </w:lvl>
    <w:lvl w:ilvl="8" w:tplc="08090005">
      <w:start w:val="1"/>
      <w:numFmt w:val="bullet"/>
      <w:lvlText w:val=""/>
      <w:lvlJc w:val="left"/>
      <w:pPr>
        <w:ind w:left="6675" w:hanging="360"/>
      </w:pPr>
      <w:rPr>
        <w:rFonts w:ascii="Wingdings" w:hAnsi="Wingdings" w:hint="default"/>
      </w:rPr>
    </w:lvl>
  </w:abstractNum>
  <w:num w:numId="1">
    <w:abstractNumId w:val="5"/>
  </w:num>
  <w:num w:numId="2">
    <w:abstractNumId w:val="6"/>
  </w:num>
  <w:num w:numId="3">
    <w:abstractNumId w:val="3"/>
  </w:num>
  <w:num w:numId="4">
    <w:abstractNumId w:val="10"/>
  </w:num>
  <w:num w:numId="5">
    <w:abstractNumId w:val="12"/>
  </w:num>
  <w:num w:numId="6">
    <w:abstractNumId w:val="7"/>
  </w:num>
  <w:num w:numId="7">
    <w:abstractNumId w:val="2"/>
  </w:num>
  <w:num w:numId="8">
    <w:abstractNumId w:val="9"/>
  </w:num>
  <w:num w:numId="9">
    <w:abstractNumId w:val="1"/>
  </w:num>
  <w:num w:numId="10">
    <w:abstractNumId w:val="13"/>
  </w:num>
  <w:num w:numId="11">
    <w:abstractNumId w:val="11"/>
  </w:num>
  <w:num w:numId="12">
    <w:abstractNumId w:val="7"/>
  </w:num>
  <w:num w:numId="13">
    <w:abstractNumId w:val="8"/>
  </w:num>
  <w:num w:numId="14">
    <w:abstractNumId w:val="3"/>
  </w:num>
  <w:num w:numId="15">
    <w:abstractNumId w:val="4"/>
  </w:num>
  <w:num w:numId="16">
    <w:abstractNumId w:val="3"/>
  </w:num>
  <w:num w:numId="17">
    <w:abstractNumId w:val="7"/>
  </w:num>
  <w:num w:numId="18">
    <w:abstractNumId w:val="3"/>
  </w:num>
  <w:num w:numId="19">
    <w:abstractNumId w:val="7"/>
  </w:num>
  <w:num w:numId="20">
    <w:abstractNumId w:val="3"/>
  </w:num>
  <w:num w:numId="21">
    <w:abstractNumId w:val="7"/>
  </w:num>
  <w:num w:numId="22">
    <w:abstractNumId w:val="3"/>
  </w:num>
  <w:num w:numId="23">
    <w:abstractNumId w:val="3"/>
  </w:num>
  <w:num w:numId="24">
    <w:abstractNumId w:val="7"/>
  </w:num>
  <w:num w:numId="25">
    <w:abstractNumId w:val="3"/>
  </w:num>
  <w:num w:numId="26">
    <w:abstractNumId w:val="3"/>
  </w:num>
  <w:num w:numId="27">
    <w:abstractNumId w:val="3"/>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o:colormru v:ext="edit" colors="#f7f4e1,#e2d58d,#f5f1d7,#e1dcae,#f1eed4,#ebe2af,#f2edce,#ede6b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36"/>
    <w:rsid w:val="00001428"/>
    <w:rsid w:val="00002DD5"/>
    <w:rsid w:val="00004AE0"/>
    <w:rsid w:val="00005F6C"/>
    <w:rsid w:val="000061AB"/>
    <w:rsid w:val="00006A1C"/>
    <w:rsid w:val="00006E51"/>
    <w:rsid w:val="00006FB9"/>
    <w:rsid w:val="00010881"/>
    <w:rsid w:val="00010B81"/>
    <w:rsid w:val="00011CC2"/>
    <w:rsid w:val="00011D55"/>
    <w:rsid w:val="0001477A"/>
    <w:rsid w:val="00015278"/>
    <w:rsid w:val="00016151"/>
    <w:rsid w:val="000177F4"/>
    <w:rsid w:val="00021AA9"/>
    <w:rsid w:val="000226A1"/>
    <w:rsid w:val="00022AF1"/>
    <w:rsid w:val="0002309F"/>
    <w:rsid w:val="00023595"/>
    <w:rsid w:val="00024C9B"/>
    <w:rsid w:val="000264F3"/>
    <w:rsid w:val="00027ADC"/>
    <w:rsid w:val="00027EA5"/>
    <w:rsid w:val="000303C4"/>
    <w:rsid w:val="00030689"/>
    <w:rsid w:val="000306CD"/>
    <w:rsid w:val="00031939"/>
    <w:rsid w:val="00031F85"/>
    <w:rsid w:val="00034FCC"/>
    <w:rsid w:val="00035971"/>
    <w:rsid w:val="00036432"/>
    <w:rsid w:val="00036CDD"/>
    <w:rsid w:val="000372EA"/>
    <w:rsid w:val="0003744D"/>
    <w:rsid w:val="00040C8D"/>
    <w:rsid w:val="00041B60"/>
    <w:rsid w:val="0004481F"/>
    <w:rsid w:val="000450C7"/>
    <w:rsid w:val="000469E2"/>
    <w:rsid w:val="00047A94"/>
    <w:rsid w:val="00050630"/>
    <w:rsid w:val="00050B23"/>
    <w:rsid w:val="00053307"/>
    <w:rsid w:val="00055C0F"/>
    <w:rsid w:val="00055EB1"/>
    <w:rsid w:val="00057102"/>
    <w:rsid w:val="00061336"/>
    <w:rsid w:val="000627C6"/>
    <w:rsid w:val="000629C6"/>
    <w:rsid w:val="00062CA0"/>
    <w:rsid w:val="0006362B"/>
    <w:rsid w:val="0006758A"/>
    <w:rsid w:val="00067594"/>
    <w:rsid w:val="00073495"/>
    <w:rsid w:val="00075110"/>
    <w:rsid w:val="000752DF"/>
    <w:rsid w:val="00075905"/>
    <w:rsid w:val="00075A69"/>
    <w:rsid w:val="00077F26"/>
    <w:rsid w:val="00077FA5"/>
    <w:rsid w:val="00080222"/>
    <w:rsid w:val="00081889"/>
    <w:rsid w:val="00082254"/>
    <w:rsid w:val="000822B3"/>
    <w:rsid w:val="00082B2C"/>
    <w:rsid w:val="0008352E"/>
    <w:rsid w:val="000855F2"/>
    <w:rsid w:val="000860B0"/>
    <w:rsid w:val="000876E1"/>
    <w:rsid w:val="00090A44"/>
    <w:rsid w:val="00091FBB"/>
    <w:rsid w:val="0009212B"/>
    <w:rsid w:val="000921BD"/>
    <w:rsid w:val="000928DA"/>
    <w:rsid w:val="000935FA"/>
    <w:rsid w:val="00093ED8"/>
    <w:rsid w:val="000959A8"/>
    <w:rsid w:val="0009665E"/>
    <w:rsid w:val="00096AD4"/>
    <w:rsid w:val="00096BD5"/>
    <w:rsid w:val="00096D30"/>
    <w:rsid w:val="000A06DF"/>
    <w:rsid w:val="000A45F0"/>
    <w:rsid w:val="000A4724"/>
    <w:rsid w:val="000A47E8"/>
    <w:rsid w:val="000A5398"/>
    <w:rsid w:val="000A5E50"/>
    <w:rsid w:val="000A6D31"/>
    <w:rsid w:val="000B0609"/>
    <w:rsid w:val="000B0654"/>
    <w:rsid w:val="000B213C"/>
    <w:rsid w:val="000B2254"/>
    <w:rsid w:val="000B2380"/>
    <w:rsid w:val="000B2C8F"/>
    <w:rsid w:val="000B2EBB"/>
    <w:rsid w:val="000B34F0"/>
    <w:rsid w:val="000B541A"/>
    <w:rsid w:val="000C12C8"/>
    <w:rsid w:val="000C1711"/>
    <w:rsid w:val="000C1AAD"/>
    <w:rsid w:val="000C4DD4"/>
    <w:rsid w:val="000C5C73"/>
    <w:rsid w:val="000C7D8F"/>
    <w:rsid w:val="000C7F81"/>
    <w:rsid w:val="000D03A9"/>
    <w:rsid w:val="000D03F5"/>
    <w:rsid w:val="000D0538"/>
    <w:rsid w:val="000D1DDB"/>
    <w:rsid w:val="000D22E5"/>
    <w:rsid w:val="000D2C48"/>
    <w:rsid w:val="000D4772"/>
    <w:rsid w:val="000D4C35"/>
    <w:rsid w:val="000D5421"/>
    <w:rsid w:val="000D5721"/>
    <w:rsid w:val="000D5893"/>
    <w:rsid w:val="000D74AA"/>
    <w:rsid w:val="000E09D7"/>
    <w:rsid w:val="000E0B95"/>
    <w:rsid w:val="000E0F9F"/>
    <w:rsid w:val="000E1611"/>
    <w:rsid w:val="000E17DA"/>
    <w:rsid w:val="000E287D"/>
    <w:rsid w:val="000E61FD"/>
    <w:rsid w:val="000E69E7"/>
    <w:rsid w:val="000E6CAF"/>
    <w:rsid w:val="000F0ABD"/>
    <w:rsid w:val="000F0E78"/>
    <w:rsid w:val="000F12C1"/>
    <w:rsid w:val="000F1472"/>
    <w:rsid w:val="000F18E6"/>
    <w:rsid w:val="000F2484"/>
    <w:rsid w:val="000F3AA2"/>
    <w:rsid w:val="000F458D"/>
    <w:rsid w:val="000F46B4"/>
    <w:rsid w:val="000F50A6"/>
    <w:rsid w:val="000F6806"/>
    <w:rsid w:val="000F704C"/>
    <w:rsid w:val="000F73AA"/>
    <w:rsid w:val="0010008B"/>
    <w:rsid w:val="00100834"/>
    <w:rsid w:val="00100D71"/>
    <w:rsid w:val="001013C2"/>
    <w:rsid w:val="00101A2C"/>
    <w:rsid w:val="00103D07"/>
    <w:rsid w:val="00105344"/>
    <w:rsid w:val="001057ED"/>
    <w:rsid w:val="001059C9"/>
    <w:rsid w:val="00110736"/>
    <w:rsid w:val="00112CAC"/>
    <w:rsid w:val="001135B5"/>
    <w:rsid w:val="0011394A"/>
    <w:rsid w:val="00113CAE"/>
    <w:rsid w:val="00113F71"/>
    <w:rsid w:val="00115FBB"/>
    <w:rsid w:val="001166B8"/>
    <w:rsid w:val="00117705"/>
    <w:rsid w:val="00117E53"/>
    <w:rsid w:val="00120017"/>
    <w:rsid w:val="0012033A"/>
    <w:rsid w:val="00122431"/>
    <w:rsid w:val="00122D12"/>
    <w:rsid w:val="00125782"/>
    <w:rsid w:val="00125803"/>
    <w:rsid w:val="001259F4"/>
    <w:rsid w:val="00126436"/>
    <w:rsid w:val="001267E5"/>
    <w:rsid w:val="001270AB"/>
    <w:rsid w:val="00127729"/>
    <w:rsid w:val="00130D83"/>
    <w:rsid w:val="00131C33"/>
    <w:rsid w:val="00131EB4"/>
    <w:rsid w:val="0013396C"/>
    <w:rsid w:val="00134FC7"/>
    <w:rsid w:val="0013711E"/>
    <w:rsid w:val="00140EE8"/>
    <w:rsid w:val="001420A3"/>
    <w:rsid w:val="001433C4"/>
    <w:rsid w:val="001447D0"/>
    <w:rsid w:val="00147DEF"/>
    <w:rsid w:val="00152157"/>
    <w:rsid w:val="00152880"/>
    <w:rsid w:val="00152BAD"/>
    <w:rsid w:val="001532D8"/>
    <w:rsid w:val="001534AB"/>
    <w:rsid w:val="001537EF"/>
    <w:rsid w:val="00154194"/>
    <w:rsid w:val="001548A3"/>
    <w:rsid w:val="00156C49"/>
    <w:rsid w:val="00157054"/>
    <w:rsid w:val="001570AB"/>
    <w:rsid w:val="00160784"/>
    <w:rsid w:val="0016079A"/>
    <w:rsid w:val="00161409"/>
    <w:rsid w:val="00161FCC"/>
    <w:rsid w:val="001627CA"/>
    <w:rsid w:val="00163E93"/>
    <w:rsid w:val="00164D72"/>
    <w:rsid w:val="00165A50"/>
    <w:rsid w:val="00165D53"/>
    <w:rsid w:val="001664AA"/>
    <w:rsid w:val="001670B2"/>
    <w:rsid w:val="00170790"/>
    <w:rsid w:val="00170A88"/>
    <w:rsid w:val="00170F27"/>
    <w:rsid w:val="001717C2"/>
    <w:rsid w:val="001727DB"/>
    <w:rsid w:val="00172987"/>
    <w:rsid w:val="00172B5A"/>
    <w:rsid w:val="00172BA5"/>
    <w:rsid w:val="00172BF8"/>
    <w:rsid w:val="001734B3"/>
    <w:rsid w:val="001736C1"/>
    <w:rsid w:val="001749DE"/>
    <w:rsid w:val="00176225"/>
    <w:rsid w:val="00176C7E"/>
    <w:rsid w:val="00177039"/>
    <w:rsid w:val="0017783B"/>
    <w:rsid w:val="00177C1F"/>
    <w:rsid w:val="001803D3"/>
    <w:rsid w:val="00180DD7"/>
    <w:rsid w:val="001817CA"/>
    <w:rsid w:val="00182424"/>
    <w:rsid w:val="001844D6"/>
    <w:rsid w:val="00184D3B"/>
    <w:rsid w:val="00185F16"/>
    <w:rsid w:val="0018695D"/>
    <w:rsid w:val="0018752F"/>
    <w:rsid w:val="001875CE"/>
    <w:rsid w:val="00190374"/>
    <w:rsid w:val="00191F6B"/>
    <w:rsid w:val="0019267E"/>
    <w:rsid w:val="00193900"/>
    <w:rsid w:val="00193A34"/>
    <w:rsid w:val="00194B2F"/>
    <w:rsid w:val="00194F6C"/>
    <w:rsid w:val="0019574D"/>
    <w:rsid w:val="00195E47"/>
    <w:rsid w:val="001963FF"/>
    <w:rsid w:val="0019763B"/>
    <w:rsid w:val="001A0EE4"/>
    <w:rsid w:val="001A1934"/>
    <w:rsid w:val="001A1AFB"/>
    <w:rsid w:val="001A1B9F"/>
    <w:rsid w:val="001A24E8"/>
    <w:rsid w:val="001A30EE"/>
    <w:rsid w:val="001A35C2"/>
    <w:rsid w:val="001A3DEE"/>
    <w:rsid w:val="001A428D"/>
    <w:rsid w:val="001A4B12"/>
    <w:rsid w:val="001A602D"/>
    <w:rsid w:val="001A6901"/>
    <w:rsid w:val="001A6A1A"/>
    <w:rsid w:val="001B05D3"/>
    <w:rsid w:val="001B0BF6"/>
    <w:rsid w:val="001B0E3F"/>
    <w:rsid w:val="001B173E"/>
    <w:rsid w:val="001B2010"/>
    <w:rsid w:val="001B2298"/>
    <w:rsid w:val="001B24F8"/>
    <w:rsid w:val="001B2E8D"/>
    <w:rsid w:val="001B32D7"/>
    <w:rsid w:val="001B4EAA"/>
    <w:rsid w:val="001B5266"/>
    <w:rsid w:val="001B5F88"/>
    <w:rsid w:val="001B734C"/>
    <w:rsid w:val="001C031E"/>
    <w:rsid w:val="001C1122"/>
    <w:rsid w:val="001C2ACF"/>
    <w:rsid w:val="001C2D05"/>
    <w:rsid w:val="001C2F16"/>
    <w:rsid w:val="001C4919"/>
    <w:rsid w:val="001C5CBA"/>
    <w:rsid w:val="001C5D5B"/>
    <w:rsid w:val="001C67BF"/>
    <w:rsid w:val="001C7116"/>
    <w:rsid w:val="001C7221"/>
    <w:rsid w:val="001D0029"/>
    <w:rsid w:val="001D0D06"/>
    <w:rsid w:val="001D0F4C"/>
    <w:rsid w:val="001D20E1"/>
    <w:rsid w:val="001D517A"/>
    <w:rsid w:val="001D61BA"/>
    <w:rsid w:val="001D69D3"/>
    <w:rsid w:val="001E083F"/>
    <w:rsid w:val="001E0CCF"/>
    <w:rsid w:val="001E28AB"/>
    <w:rsid w:val="001E361B"/>
    <w:rsid w:val="001E46A5"/>
    <w:rsid w:val="001E5A58"/>
    <w:rsid w:val="001E6B77"/>
    <w:rsid w:val="001F0A91"/>
    <w:rsid w:val="001F1EE0"/>
    <w:rsid w:val="001F3971"/>
    <w:rsid w:val="001F429D"/>
    <w:rsid w:val="001F6E99"/>
    <w:rsid w:val="001F7984"/>
    <w:rsid w:val="001F7C5F"/>
    <w:rsid w:val="002014A1"/>
    <w:rsid w:val="0020360E"/>
    <w:rsid w:val="00204558"/>
    <w:rsid w:val="002049F3"/>
    <w:rsid w:val="00207A3C"/>
    <w:rsid w:val="00211151"/>
    <w:rsid w:val="00212402"/>
    <w:rsid w:val="00212438"/>
    <w:rsid w:val="00212813"/>
    <w:rsid w:val="00212FFB"/>
    <w:rsid w:val="0021388B"/>
    <w:rsid w:val="002166ED"/>
    <w:rsid w:val="00216713"/>
    <w:rsid w:val="00216A39"/>
    <w:rsid w:val="00216C7E"/>
    <w:rsid w:val="00216E00"/>
    <w:rsid w:val="00217C8F"/>
    <w:rsid w:val="002208D8"/>
    <w:rsid w:val="00221E7F"/>
    <w:rsid w:val="00222559"/>
    <w:rsid w:val="00222CB7"/>
    <w:rsid w:val="00223351"/>
    <w:rsid w:val="00226286"/>
    <w:rsid w:val="002262C6"/>
    <w:rsid w:val="002275BD"/>
    <w:rsid w:val="002275E0"/>
    <w:rsid w:val="002276F8"/>
    <w:rsid w:val="00227781"/>
    <w:rsid w:val="00230B07"/>
    <w:rsid w:val="00231E9B"/>
    <w:rsid w:val="0023766E"/>
    <w:rsid w:val="00237780"/>
    <w:rsid w:val="002400B0"/>
    <w:rsid w:val="0024019F"/>
    <w:rsid w:val="002412AA"/>
    <w:rsid w:val="00241A45"/>
    <w:rsid w:val="002448AE"/>
    <w:rsid w:val="00244BB8"/>
    <w:rsid w:val="002459E7"/>
    <w:rsid w:val="00246FA5"/>
    <w:rsid w:val="0024795C"/>
    <w:rsid w:val="00250101"/>
    <w:rsid w:val="002501DA"/>
    <w:rsid w:val="00250231"/>
    <w:rsid w:val="00250370"/>
    <w:rsid w:val="0025095F"/>
    <w:rsid w:val="0025199A"/>
    <w:rsid w:val="00251DCA"/>
    <w:rsid w:val="0025300D"/>
    <w:rsid w:val="00253F21"/>
    <w:rsid w:val="00254CD8"/>
    <w:rsid w:val="00255486"/>
    <w:rsid w:val="00256204"/>
    <w:rsid w:val="00256842"/>
    <w:rsid w:val="00256880"/>
    <w:rsid w:val="0026058A"/>
    <w:rsid w:val="00260713"/>
    <w:rsid w:val="00261B59"/>
    <w:rsid w:val="0026272E"/>
    <w:rsid w:val="0026403A"/>
    <w:rsid w:val="00264F18"/>
    <w:rsid w:val="00265181"/>
    <w:rsid w:val="00265956"/>
    <w:rsid w:val="00265D2D"/>
    <w:rsid w:val="00266160"/>
    <w:rsid w:val="00267268"/>
    <w:rsid w:val="0027020F"/>
    <w:rsid w:val="00271039"/>
    <w:rsid w:val="002717AA"/>
    <w:rsid w:val="0027193B"/>
    <w:rsid w:val="00271DA6"/>
    <w:rsid w:val="00272568"/>
    <w:rsid w:val="00272634"/>
    <w:rsid w:val="00274837"/>
    <w:rsid w:val="00274872"/>
    <w:rsid w:val="00275320"/>
    <w:rsid w:val="002760E6"/>
    <w:rsid w:val="002801CD"/>
    <w:rsid w:val="002802EB"/>
    <w:rsid w:val="00280D3D"/>
    <w:rsid w:val="00281E4F"/>
    <w:rsid w:val="002829F7"/>
    <w:rsid w:val="00282FA8"/>
    <w:rsid w:val="0028354D"/>
    <w:rsid w:val="0028384A"/>
    <w:rsid w:val="0028441F"/>
    <w:rsid w:val="00286849"/>
    <w:rsid w:val="00287405"/>
    <w:rsid w:val="002876CA"/>
    <w:rsid w:val="002900F8"/>
    <w:rsid w:val="002901AD"/>
    <w:rsid w:val="002906D1"/>
    <w:rsid w:val="00292AAA"/>
    <w:rsid w:val="00292E9F"/>
    <w:rsid w:val="002938E5"/>
    <w:rsid w:val="0029437E"/>
    <w:rsid w:val="0029489B"/>
    <w:rsid w:val="00296C32"/>
    <w:rsid w:val="0029712A"/>
    <w:rsid w:val="0029796D"/>
    <w:rsid w:val="00297BA2"/>
    <w:rsid w:val="002A0CA5"/>
    <w:rsid w:val="002A0ECD"/>
    <w:rsid w:val="002A15F6"/>
    <w:rsid w:val="002A3306"/>
    <w:rsid w:val="002A3967"/>
    <w:rsid w:val="002A3BC4"/>
    <w:rsid w:val="002A4225"/>
    <w:rsid w:val="002A7643"/>
    <w:rsid w:val="002B0091"/>
    <w:rsid w:val="002B01B7"/>
    <w:rsid w:val="002B1821"/>
    <w:rsid w:val="002B2408"/>
    <w:rsid w:val="002B262D"/>
    <w:rsid w:val="002B2783"/>
    <w:rsid w:val="002B4C0C"/>
    <w:rsid w:val="002B508F"/>
    <w:rsid w:val="002B66F7"/>
    <w:rsid w:val="002B6B77"/>
    <w:rsid w:val="002B77D3"/>
    <w:rsid w:val="002C12EA"/>
    <w:rsid w:val="002C1DB8"/>
    <w:rsid w:val="002C4901"/>
    <w:rsid w:val="002C5445"/>
    <w:rsid w:val="002C5CA1"/>
    <w:rsid w:val="002C686E"/>
    <w:rsid w:val="002D0895"/>
    <w:rsid w:val="002D29F2"/>
    <w:rsid w:val="002D74D2"/>
    <w:rsid w:val="002D7578"/>
    <w:rsid w:val="002E09AE"/>
    <w:rsid w:val="002E12AD"/>
    <w:rsid w:val="002E1C3A"/>
    <w:rsid w:val="002E227D"/>
    <w:rsid w:val="002E2D4A"/>
    <w:rsid w:val="002E31E0"/>
    <w:rsid w:val="002F160C"/>
    <w:rsid w:val="002F1B29"/>
    <w:rsid w:val="002F22A7"/>
    <w:rsid w:val="002F4083"/>
    <w:rsid w:val="002F4BF9"/>
    <w:rsid w:val="002F4CD9"/>
    <w:rsid w:val="002F559E"/>
    <w:rsid w:val="002F5B19"/>
    <w:rsid w:val="002F67AE"/>
    <w:rsid w:val="002F74FA"/>
    <w:rsid w:val="0030009D"/>
    <w:rsid w:val="003010A7"/>
    <w:rsid w:val="00301F47"/>
    <w:rsid w:val="00302003"/>
    <w:rsid w:val="00302D31"/>
    <w:rsid w:val="003037E8"/>
    <w:rsid w:val="00303DE4"/>
    <w:rsid w:val="0030547B"/>
    <w:rsid w:val="00306B8E"/>
    <w:rsid w:val="00306FA3"/>
    <w:rsid w:val="003105DE"/>
    <w:rsid w:val="003106EB"/>
    <w:rsid w:val="00310BCD"/>
    <w:rsid w:val="00311229"/>
    <w:rsid w:val="0031176F"/>
    <w:rsid w:val="00311C28"/>
    <w:rsid w:val="003128F6"/>
    <w:rsid w:val="00313CAD"/>
    <w:rsid w:val="00315E0E"/>
    <w:rsid w:val="00316AF2"/>
    <w:rsid w:val="00316DF5"/>
    <w:rsid w:val="00320B0D"/>
    <w:rsid w:val="00320BD9"/>
    <w:rsid w:val="00322BA4"/>
    <w:rsid w:val="00323F6C"/>
    <w:rsid w:val="003241FB"/>
    <w:rsid w:val="003251DF"/>
    <w:rsid w:val="003255E8"/>
    <w:rsid w:val="003258EA"/>
    <w:rsid w:val="003274F7"/>
    <w:rsid w:val="00327B96"/>
    <w:rsid w:val="00332FBD"/>
    <w:rsid w:val="00333C3F"/>
    <w:rsid w:val="00334866"/>
    <w:rsid w:val="003364D3"/>
    <w:rsid w:val="00337B69"/>
    <w:rsid w:val="00340121"/>
    <w:rsid w:val="0034023F"/>
    <w:rsid w:val="003425FD"/>
    <w:rsid w:val="00342910"/>
    <w:rsid w:val="00344151"/>
    <w:rsid w:val="00344AF3"/>
    <w:rsid w:val="00346223"/>
    <w:rsid w:val="00346765"/>
    <w:rsid w:val="00347E25"/>
    <w:rsid w:val="00347ECE"/>
    <w:rsid w:val="003505CC"/>
    <w:rsid w:val="00355854"/>
    <w:rsid w:val="00355BBC"/>
    <w:rsid w:val="00355CB6"/>
    <w:rsid w:val="00355D03"/>
    <w:rsid w:val="00356E81"/>
    <w:rsid w:val="0035771F"/>
    <w:rsid w:val="0036043F"/>
    <w:rsid w:val="00360898"/>
    <w:rsid w:val="003612F9"/>
    <w:rsid w:val="003614C1"/>
    <w:rsid w:val="00363C24"/>
    <w:rsid w:val="0036422E"/>
    <w:rsid w:val="0036633E"/>
    <w:rsid w:val="00366E34"/>
    <w:rsid w:val="003670B0"/>
    <w:rsid w:val="00367B08"/>
    <w:rsid w:val="0037175B"/>
    <w:rsid w:val="00372331"/>
    <w:rsid w:val="00374885"/>
    <w:rsid w:val="003765F1"/>
    <w:rsid w:val="00377DFC"/>
    <w:rsid w:val="00377E0B"/>
    <w:rsid w:val="00380EF2"/>
    <w:rsid w:val="003836AF"/>
    <w:rsid w:val="00384B80"/>
    <w:rsid w:val="00385E8C"/>
    <w:rsid w:val="003869D5"/>
    <w:rsid w:val="00386BE0"/>
    <w:rsid w:val="00387605"/>
    <w:rsid w:val="00387E70"/>
    <w:rsid w:val="00390A2F"/>
    <w:rsid w:val="00390CA8"/>
    <w:rsid w:val="00391656"/>
    <w:rsid w:val="00392593"/>
    <w:rsid w:val="003927B7"/>
    <w:rsid w:val="00393AC4"/>
    <w:rsid w:val="00395966"/>
    <w:rsid w:val="00395B3E"/>
    <w:rsid w:val="00396597"/>
    <w:rsid w:val="0039680F"/>
    <w:rsid w:val="00396F31"/>
    <w:rsid w:val="003A03E7"/>
    <w:rsid w:val="003A040A"/>
    <w:rsid w:val="003A07E2"/>
    <w:rsid w:val="003A0B98"/>
    <w:rsid w:val="003A1759"/>
    <w:rsid w:val="003A3CE2"/>
    <w:rsid w:val="003A6305"/>
    <w:rsid w:val="003A6838"/>
    <w:rsid w:val="003A70E0"/>
    <w:rsid w:val="003A7C65"/>
    <w:rsid w:val="003B0C0B"/>
    <w:rsid w:val="003B0E34"/>
    <w:rsid w:val="003B280C"/>
    <w:rsid w:val="003B2870"/>
    <w:rsid w:val="003B2F29"/>
    <w:rsid w:val="003B3074"/>
    <w:rsid w:val="003B48E7"/>
    <w:rsid w:val="003B5135"/>
    <w:rsid w:val="003B5DF8"/>
    <w:rsid w:val="003B6455"/>
    <w:rsid w:val="003B72FB"/>
    <w:rsid w:val="003B75D5"/>
    <w:rsid w:val="003C0038"/>
    <w:rsid w:val="003C0E3C"/>
    <w:rsid w:val="003C0F90"/>
    <w:rsid w:val="003C2561"/>
    <w:rsid w:val="003C3259"/>
    <w:rsid w:val="003C7431"/>
    <w:rsid w:val="003D1B2B"/>
    <w:rsid w:val="003D37E2"/>
    <w:rsid w:val="003D5F6D"/>
    <w:rsid w:val="003D6862"/>
    <w:rsid w:val="003D6969"/>
    <w:rsid w:val="003D6C8A"/>
    <w:rsid w:val="003D7C7B"/>
    <w:rsid w:val="003E0EB0"/>
    <w:rsid w:val="003E1E96"/>
    <w:rsid w:val="003E2272"/>
    <w:rsid w:val="003E33C1"/>
    <w:rsid w:val="003E43D4"/>
    <w:rsid w:val="003E6724"/>
    <w:rsid w:val="003E75B7"/>
    <w:rsid w:val="003F0301"/>
    <w:rsid w:val="003F1B9C"/>
    <w:rsid w:val="003F2320"/>
    <w:rsid w:val="003F33B8"/>
    <w:rsid w:val="003F366A"/>
    <w:rsid w:val="003F49D4"/>
    <w:rsid w:val="003F4A93"/>
    <w:rsid w:val="003F5619"/>
    <w:rsid w:val="003F6424"/>
    <w:rsid w:val="003F7125"/>
    <w:rsid w:val="00400F15"/>
    <w:rsid w:val="00401F57"/>
    <w:rsid w:val="00402650"/>
    <w:rsid w:val="004031E2"/>
    <w:rsid w:val="00403481"/>
    <w:rsid w:val="00403993"/>
    <w:rsid w:val="00404619"/>
    <w:rsid w:val="004056C6"/>
    <w:rsid w:val="004072C5"/>
    <w:rsid w:val="004078DD"/>
    <w:rsid w:val="00410D99"/>
    <w:rsid w:val="00410FEC"/>
    <w:rsid w:val="0041229D"/>
    <w:rsid w:val="00412DA9"/>
    <w:rsid w:val="004130F1"/>
    <w:rsid w:val="00414825"/>
    <w:rsid w:val="00417150"/>
    <w:rsid w:val="0042080B"/>
    <w:rsid w:val="00420E9D"/>
    <w:rsid w:val="00424004"/>
    <w:rsid w:val="004262DE"/>
    <w:rsid w:val="004266BE"/>
    <w:rsid w:val="00427564"/>
    <w:rsid w:val="00432904"/>
    <w:rsid w:val="004333F1"/>
    <w:rsid w:val="0043381F"/>
    <w:rsid w:val="004379FE"/>
    <w:rsid w:val="00440045"/>
    <w:rsid w:val="0044151D"/>
    <w:rsid w:val="00442132"/>
    <w:rsid w:val="0044251A"/>
    <w:rsid w:val="00443852"/>
    <w:rsid w:val="00444A1F"/>
    <w:rsid w:val="004459F6"/>
    <w:rsid w:val="0044790B"/>
    <w:rsid w:val="00450146"/>
    <w:rsid w:val="00450A22"/>
    <w:rsid w:val="0045262E"/>
    <w:rsid w:val="004531E6"/>
    <w:rsid w:val="0045393A"/>
    <w:rsid w:val="00455137"/>
    <w:rsid w:val="00456311"/>
    <w:rsid w:val="00456BB6"/>
    <w:rsid w:val="0045779A"/>
    <w:rsid w:val="00460032"/>
    <w:rsid w:val="00460458"/>
    <w:rsid w:val="00461614"/>
    <w:rsid w:val="004616E4"/>
    <w:rsid w:val="00461D0F"/>
    <w:rsid w:val="00463B98"/>
    <w:rsid w:val="00464BF3"/>
    <w:rsid w:val="00464D98"/>
    <w:rsid w:val="00465198"/>
    <w:rsid w:val="004652C7"/>
    <w:rsid w:val="00466B7D"/>
    <w:rsid w:val="0047022D"/>
    <w:rsid w:val="004718DA"/>
    <w:rsid w:val="0047266D"/>
    <w:rsid w:val="0047306D"/>
    <w:rsid w:val="004733A6"/>
    <w:rsid w:val="004747C2"/>
    <w:rsid w:val="004749D6"/>
    <w:rsid w:val="004753A4"/>
    <w:rsid w:val="00476371"/>
    <w:rsid w:val="00476D10"/>
    <w:rsid w:val="00477B46"/>
    <w:rsid w:val="00481A95"/>
    <w:rsid w:val="00483C74"/>
    <w:rsid w:val="00486A24"/>
    <w:rsid w:val="00486AB7"/>
    <w:rsid w:val="00490D04"/>
    <w:rsid w:val="0049231C"/>
    <w:rsid w:val="00492929"/>
    <w:rsid w:val="00492DF0"/>
    <w:rsid w:val="004932F4"/>
    <w:rsid w:val="004939EF"/>
    <w:rsid w:val="00495808"/>
    <w:rsid w:val="00496DA0"/>
    <w:rsid w:val="004A004D"/>
    <w:rsid w:val="004A05BB"/>
    <w:rsid w:val="004A05EB"/>
    <w:rsid w:val="004A145C"/>
    <w:rsid w:val="004A303F"/>
    <w:rsid w:val="004A384D"/>
    <w:rsid w:val="004A6BA9"/>
    <w:rsid w:val="004A6DEB"/>
    <w:rsid w:val="004A70EA"/>
    <w:rsid w:val="004B052D"/>
    <w:rsid w:val="004B0D91"/>
    <w:rsid w:val="004B1CAE"/>
    <w:rsid w:val="004B25DC"/>
    <w:rsid w:val="004B2BC9"/>
    <w:rsid w:val="004B317F"/>
    <w:rsid w:val="004B3ABA"/>
    <w:rsid w:val="004B62F4"/>
    <w:rsid w:val="004B646A"/>
    <w:rsid w:val="004B7374"/>
    <w:rsid w:val="004B77B8"/>
    <w:rsid w:val="004B7A0E"/>
    <w:rsid w:val="004B7FDB"/>
    <w:rsid w:val="004C1246"/>
    <w:rsid w:val="004C1B05"/>
    <w:rsid w:val="004C2A3B"/>
    <w:rsid w:val="004C307F"/>
    <w:rsid w:val="004C4611"/>
    <w:rsid w:val="004C5129"/>
    <w:rsid w:val="004C780D"/>
    <w:rsid w:val="004C79CE"/>
    <w:rsid w:val="004C7DFA"/>
    <w:rsid w:val="004D05B9"/>
    <w:rsid w:val="004D0B40"/>
    <w:rsid w:val="004D239C"/>
    <w:rsid w:val="004D253A"/>
    <w:rsid w:val="004D3164"/>
    <w:rsid w:val="004D3A89"/>
    <w:rsid w:val="004D5752"/>
    <w:rsid w:val="004D62BE"/>
    <w:rsid w:val="004D6690"/>
    <w:rsid w:val="004D6E2F"/>
    <w:rsid w:val="004D6FD3"/>
    <w:rsid w:val="004D72E4"/>
    <w:rsid w:val="004E0E45"/>
    <w:rsid w:val="004E1646"/>
    <w:rsid w:val="004E1B83"/>
    <w:rsid w:val="004E26AE"/>
    <w:rsid w:val="004E3B38"/>
    <w:rsid w:val="004E3CDB"/>
    <w:rsid w:val="004E5959"/>
    <w:rsid w:val="004E6740"/>
    <w:rsid w:val="004E6BB4"/>
    <w:rsid w:val="004E70D4"/>
    <w:rsid w:val="004E7140"/>
    <w:rsid w:val="004E7517"/>
    <w:rsid w:val="004F040C"/>
    <w:rsid w:val="004F2993"/>
    <w:rsid w:val="004F417A"/>
    <w:rsid w:val="004F419A"/>
    <w:rsid w:val="004F44AC"/>
    <w:rsid w:val="004F5119"/>
    <w:rsid w:val="004F75B3"/>
    <w:rsid w:val="004F7D60"/>
    <w:rsid w:val="005010CA"/>
    <w:rsid w:val="00502320"/>
    <w:rsid w:val="00502D58"/>
    <w:rsid w:val="00504B9C"/>
    <w:rsid w:val="00505E12"/>
    <w:rsid w:val="00507883"/>
    <w:rsid w:val="005079A1"/>
    <w:rsid w:val="005109C4"/>
    <w:rsid w:val="00511244"/>
    <w:rsid w:val="00511D01"/>
    <w:rsid w:val="00512060"/>
    <w:rsid w:val="005121D6"/>
    <w:rsid w:val="0051230E"/>
    <w:rsid w:val="00512463"/>
    <w:rsid w:val="005126A8"/>
    <w:rsid w:val="00512F0A"/>
    <w:rsid w:val="00513504"/>
    <w:rsid w:val="00513A61"/>
    <w:rsid w:val="00513CDA"/>
    <w:rsid w:val="00514643"/>
    <w:rsid w:val="0051485F"/>
    <w:rsid w:val="00514AC9"/>
    <w:rsid w:val="00515558"/>
    <w:rsid w:val="005157D9"/>
    <w:rsid w:val="00517E2E"/>
    <w:rsid w:val="005205F0"/>
    <w:rsid w:val="005207BA"/>
    <w:rsid w:val="00520FC1"/>
    <w:rsid w:val="0052122E"/>
    <w:rsid w:val="0052198F"/>
    <w:rsid w:val="005230CD"/>
    <w:rsid w:val="0052387E"/>
    <w:rsid w:val="00525D7A"/>
    <w:rsid w:val="00526FE1"/>
    <w:rsid w:val="00527070"/>
    <w:rsid w:val="00530AFB"/>
    <w:rsid w:val="00531E6B"/>
    <w:rsid w:val="0053217A"/>
    <w:rsid w:val="005326C8"/>
    <w:rsid w:val="00533845"/>
    <w:rsid w:val="005340BD"/>
    <w:rsid w:val="00537B5C"/>
    <w:rsid w:val="00540932"/>
    <w:rsid w:val="005418B4"/>
    <w:rsid w:val="00542869"/>
    <w:rsid w:val="0054330D"/>
    <w:rsid w:val="00545FE5"/>
    <w:rsid w:val="00547448"/>
    <w:rsid w:val="00550A2C"/>
    <w:rsid w:val="00550EE9"/>
    <w:rsid w:val="00552356"/>
    <w:rsid w:val="0055300B"/>
    <w:rsid w:val="005554CF"/>
    <w:rsid w:val="00556A6D"/>
    <w:rsid w:val="00561390"/>
    <w:rsid w:val="0056272E"/>
    <w:rsid w:val="00562748"/>
    <w:rsid w:val="005645AE"/>
    <w:rsid w:val="00565748"/>
    <w:rsid w:val="0056637D"/>
    <w:rsid w:val="00567557"/>
    <w:rsid w:val="0056780B"/>
    <w:rsid w:val="0057239D"/>
    <w:rsid w:val="00572A25"/>
    <w:rsid w:val="00572C5E"/>
    <w:rsid w:val="0057423E"/>
    <w:rsid w:val="00574E9F"/>
    <w:rsid w:val="005808A2"/>
    <w:rsid w:val="00580CEA"/>
    <w:rsid w:val="005811A7"/>
    <w:rsid w:val="0058121F"/>
    <w:rsid w:val="00583213"/>
    <w:rsid w:val="00583318"/>
    <w:rsid w:val="00583608"/>
    <w:rsid w:val="0058372F"/>
    <w:rsid w:val="00583AA3"/>
    <w:rsid w:val="00584A67"/>
    <w:rsid w:val="00584E3A"/>
    <w:rsid w:val="005865A1"/>
    <w:rsid w:val="00587B69"/>
    <w:rsid w:val="005903B6"/>
    <w:rsid w:val="00591058"/>
    <w:rsid w:val="0059168B"/>
    <w:rsid w:val="0059212D"/>
    <w:rsid w:val="00593FCF"/>
    <w:rsid w:val="00594D0C"/>
    <w:rsid w:val="00594FE0"/>
    <w:rsid w:val="00595DA9"/>
    <w:rsid w:val="00596281"/>
    <w:rsid w:val="00596FA2"/>
    <w:rsid w:val="00597AFB"/>
    <w:rsid w:val="00597F7C"/>
    <w:rsid w:val="005A13CD"/>
    <w:rsid w:val="005A284E"/>
    <w:rsid w:val="005A2BF7"/>
    <w:rsid w:val="005A2DAD"/>
    <w:rsid w:val="005A5190"/>
    <w:rsid w:val="005A5A6E"/>
    <w:rsid w:val="005A6E99"/>
    <w:rsid w:val="005B27FD"/>
    <w:rsid w:val="005B29AD"/>
    <w:rsid w:val="005B2BAE"/>
    <w:rsid w:val="005B3812"/>
    <w:rsid w:val="005B3845"/>
    <w:rsid w:val="005B3D36"/>
    <w:rsid w:val="005B406C"/>
    <w:rsid w:val="005B40D4"/>
    <w:rsid w:val="005B4541"/>
    <w:rsid w:val="005B476B"/>
    <w:rsid w:val="005B5D83"/>
    <w:rsid w:val="005B6FCD"/>
    <w:rsid w:val="005B708E"/>
    <w:rsid w:val="005B709C"/>
    <w:rsid w:val="005C0825"/>
    <w:rsid w:val="005C20DE"/>
    <w:rsid w:val="005C314C"/>
    <w:rsid w:val="005C4471"/>
    <w:rsid w:val="005C6282"/>
    <w:rsid w:val="005C6812"/>
    <w:rsid w:val="005C6A69"/>
    <w:rsid w:val="005D08C2"/>
    <w:rsid w:val="005D0A9A"/>
    <w:rsid w:val="005D2A00"/>
    <w:rsid w:val="005D2A43"/>
    <w:rsid w:val="005D3833"/>
    <w:rsid w:val="005D3DFA"/>
    <w:rsid w:val="005D4349"/>
    <w:rsid w:val="005D4B7B"/>
    <w:rsid w:val="005D5E0E"/>
    <w:rsid w:val="005D6391"/>
    <w:rsid w:val="005D68EA"/>
    <w:rsid w:val="005D7CC0"/>
    <w:rsid w:val="005E15E6"/>
    <w:rsid w:val="005E1F85"/>
    <w:rsid w:val="005E308C"/>
    <w:rsid w:val="005E3ED5"/>
    <w:rsid w:val="005E48D5"/>
    <w:rsid w:val="005E4BB4"/>
    <w:rsid w:val="005E709A"/>
    <w:rsid w:val="005F0142"/>
    <w:rsid w:val="005F074D"/>
    <w:rsid w:val="005F148F"/>
    <w:rsid w:val="005F20BA"/>
    <w:rsid w:val="005F2D73"/>
    <w:rsid w:val="005F347B"/>
    <w:rsid w:val="005F37CE"/>
    <w:rsid w:val="005F43F5"/>
    <w:rsid w:val="005F46C3"/>
    <w:rsid w:val="005F48FC"/>
    <w:rsid w:val="005F5568"/>
    <w:rsid w:val="005F5805"/>
    <w:rsid w:val="005F5877"/>
    <w:rsid w:val="006020BC"/>
    <w:rsid w:val="00602C0F"/>
    <w:rsid w:val="00606056"/>
    <w:rsid w:val="006104F2"/>
    <w:rsid w:val="00610DFB"/>
    <w:rsid w:val="00610E5C"/>
    <w:rsid w:val="00612093"/>
    <w:rsid w:val="00612701"/>
    <w:rsid w:val="006129B4"/>
    <w:rsid w:val="00613C21"/>
    <w:rsid w:val="0061416E"/>
    <w:rsid w:val="00614D97"/>
    <w:rsid w:val="00615EE9"/>
    <w:rsid w:val="0062091D"/>
    <w:rsid w:val="00620D68"/>
    <w:rsid w:val="00620D6D"/>
    <w:rsid w:val="00620DDC"/>
    <w:rsid w:val="00620F8A"/>
    <w:rsid w:val="00622DCF"/>
    <w:rsid w:val="006243BF"/>
    <w:rsid w:val="0062496D"/>
    <w:rsid w:val="006256DC"/>
    <w:rsid w:val="00625B76"/>
    <w:rsid w:val="0062616A"/>
    <w:rsid w:val="00627FA7"/>
    <w:rsid w:val="006312BE"/>
    <w:rsid w:val="00631CB9"/>
    <w:rsid w:val="006320E1"/>
    <w:rsid w:val="006328E5"/>
    <w:rsid w:val="006336DA"/>
    <w:rsid w:val="0063395F"/>
    <w:rsid w:val="00634543"/>
    <w:rsid w:val="006346E8"/>
    <w:rsid w:val="00634A81"/>
    <w:rsid w:val="00635388"/>
    <w:rsid w:val="0063585B"/>
    <w:rsid w:val="00636E9F"/>
    <w:rsid w:val="0063746C"/>
    <w:rsid w:val="0063790C"/>
    <w:rsid w:val="00637CBC"/>
    <w:rsid w:val="00640CED"/>
    <w:rsid w:val="006432D2"/>
    <w:rsid w:val="00643ADC"/>
    <w:rsid w:val="006469CD"/>
    <w:rsid w:val="00647ADE"/>
    <w:rsid w:val="00651150"/>
    <w:rsid w:val="0065222C"/>
    <w:rsid w:val="006546DB"/>
    <w:rsid w:val="00655D47"/>
    <w:rsid w:val="00656D0B"/>
    <w:rsid w:val="00657C56"/>
    <w:rsid w:val="00657C9C"/>
    <w:rsid w:val="00657D63"/>
    <w:rsid w:val="00657F0D"/>
    <w:rsid w:val="00660032"/>
    <w:rsid w:val="00660D4C"/>
    <w:rsid w:val="006622FD"/>
    <w:rsid w:val="0066275B"/>
    <w:rsid w:val="0066298F"/>
    <w:rsid w:val="00662A2F"/>
    <w:rsid w:val="00662B56"/>
    <w:rsid w:val="00663278"/>
    <w:rsid w:val="00663DF2"/>
    <w:rsid w:val="00664147"/>
    <w:rsid w:val="0066560F"/>
    <w:rsid w:val="00665A48"/>
    <w:rsid w:val="00666356"/>
    <w:rsid w:val="00666D1D"/>
    <w:rsid w:val="00670E3C"/>
    <w:rsid w:val="0067179A"/>
    <w:rsid w:val="00671F0E"/>
    <w:rsid w:val="00672D04"/>
    <w:rsid w:val="00672E4A"/>
    <w:rsid w:val="00673170"/>
    <w:rsid w:val="006736FD"/>
    <w:rsid w:val="00676698"/>
    <w:rsid w:val="006817AE"/>
    <w:rsid w:val="00681FCE"/>
    <w:rsid w:val="00682D10"/>
    <w:rsid w:val="0068386C"/>
    <w:rsid w:val="006844DA"/>
    <w:rsid w:val="00685D29"/>
    <w:rsid w:val="006860A3"/>
    <w:rsid w:val="006866F3"/>
    <w:rsid w:val="00686882"/>
    <w:rsid w:val="00686957"/>
    <w:rsid w:val="00686A4E"/>
    <w:rsid w:val="006904DB"/>
    <w:rsid w:val="00690D15"/>
    <w:rsid w:val="00691A3D"/>
    <w:rsid w:val="00691FF5"/>
    <w:rsid w:val="00694BDB"/>
    <w:rsid w:val="00695305"/>
    <w:rsid w:val="00695E4B"/>
    <w:rsid w:val="00697D6C"/>
    <w:rsid w:val="006A1BBF"/>
    <w:rsid w:val="006A1FB4"/>
    <w:rsid w:val="006A503D"/>
    <w:rsid w:val="006A6D28"/>
    <w:rsid w:val="006A7216"/>
    <w:rsid w:val="006A7A9D"/>
    <w:rsid w:val="006B1022"/>
    <w:rsid w:val="006B14BF"/>
    <w:rsid w:val="006B14E1"/>
    <w:rsid w:val="006B3DC8"/>
    <w:rsid w:val="006B4430"/>
    <w:rsid w:val="006C03A3"/>
    <w:rsid w:val="006C1940"/>
    <w:rsid w:val="006C2D27"/>
    <w:rsid w:val="006C4C89"/>
    <w:rsid w:val="006C6D76"/>
    <w:rsid w:val="006C72A6"/>
    <w:rsid w:val="006C7D00"/>
    <w:rsid w:val="006D125D"/>
    <w:rsid w:val="006D2C71"/>
    <w:rsid w:val="006D30BE"/>
    <w:rsid w:val="006D3E96"/>
    <w:rsid w:val="006D616C"/>
    <w:rsid w:val="006D6B97"/>
    <w:rsid w:val="006E0F2E"/>
    <w:rsid w:val="006E200E"/>
    <w:rsid w:val="006E20F0"/>
    <w:rsid w:val="006E2C41"/>
    <w:rsid w:val="006E320D"/>
    <w:rsid w:val="006E3F13"/>
    <w:rsid w:val="006E4401"/>
    <w:rsid w:val="006E4DFF"/>
    <w:rsid w:val="006E714D"/>
    <w:rsid w:val="006F0339"/>
    <w:rsid w:val="006F1663"/>
    <w:rsid w:val="006F22F8"/>
    <w:rsid w:val="006F3254"/>
    <w:rsid w:val="006F362E"/>
    <w:rsid w:val="006F43E0"/>
    <w:rsid w:val="006F46F7"/>
    <w:rsid w:val="006F7423"/>
    <w:rsid w:val="006F7BF7"/>
    <w:rsid w:val="007004FD"/>
    <w:rsid w:val="007005A8"/>
    <w:rsid w:val="00700D85"/>
    <w:rsid w:val="00701B2B"/>
    <w:rsid w:val="00702001"/>
    <w:rsid w:val="007036FC"/>
    <w:rsid w:val="00704947"/>
    <w:rsid w:val="00705400"/>
    <w:rsid w:val="0070672E"/>
    <w:rsid w:val="00706C58"/>
    <w:rsid w:val="0070715C"/>
    <w:rsid w:val="007072BE"/>
    <w:rsid w:val="00707339"/>
    <w:rsid w:val="0071042F"/>
    <w:rsid w:val="0071058E"/>
    <w:rsid w:val="007105AF"/>
    <w:rsid w:val="007108E0"/>
    <w:rsid w:val="00712D2B"/>
    <w:rsid w:val="00713550"/>
    <w:rsid w:val="0071400D"/>
    <w:rsid w:val="00714CCF"/>
    <w:rsid w:val="0071502E"/>
    <w:rsid w:val="007166C1"/>
    <w:rsid w:val="00717D0B"/>
    <w:rsid w:val="00720F70"/>
    <w:rsid w:val="007233D6"/>
    <w:rsid w:val="007234E2"/>
    <w:rsid w:val="00723EAF"/>
    <w:rsid w:val="00725292"/>
    <w:rsid w:val="00725636"/>
    <w:rsid w:val="00726080"/>
    <w:rsid w:val="007275A8"/>
    <w:rsid w:val="00727EED"/>
    <w:rsid w:val="00730B0A"/>
    <w:rsid w:val="00731115"/>
    <w:rsid w:val="00732611"/>
    <w:rsid w:val="00732925"/>
    <w:rsid w:val="0073302A"/>
    <w:rsid w:val="00734472"/>
    <w:rsid w:val="00735074"/>
    <w:rsid w:val="0073520B"/>
    <w:rsid w:val="00735FDC"/>
    <w:rsid w:val="0073622C"/>
    <w:rsid w:val="00736285"/>
    <w:rsid w:val="0073644B"/>
    <w:rsid w:val="007365A0"/>
    <w:rsid w:val="007366D5"/>
    <w:rsid w:val="00736890"/>
    <w:rsid w:val="007371AD"/>
    <w:rsid w:val="007375D9"/>
    <w:rsid w:val="00743E04"/>
    <w:rsid w:val="0074448B"/>
    <w:rsid w:val="00746BE4"/>
    <w:rsid w:val="007502AC"/>
    <w:rsid w:val="007505A7"/>
    <w:rsid w:val="007517B5"/>
    <w:rsid w:val="0075430B"/>
    <w:rsid w:val="007579EE"/>
    <w:rsid w:val="00757E64"/>
    <w:rsid w:val="00760533"/>
    <w:rsid w:val="007605EA"/>
    <w:rsid w:val="007627B9"/>
    <w:rsid w:val="00762DA1"/>
    <w:rsid w:val="00762F82"/>
    <w:rsid w:val="00763FA3"/>
    <w:rsid w:val="007660A9"/>
    <w:rsid w:val="00766EA0"/>
    <w:rsid w:val="00767441"/>
    <w:rsid w:val="007678E2"/>
    <w:rsid w:val="00767B11"/>
    <w:rsid w:val="00770CF8"/>
    <w:rsid w:val="0077229A"/>
    <w:rsid w:val="00772EA3"/>
    <w:rsid w:val="00773ED8"/>
    <w:rsid w:val="00774581"/>
    <w:rsid w:val="00775983"/>
    <w:rsid w:val="007774F4"/>
    <w:rsid w:val="00777D4B"/>
    <w:rsid w:val="007808CD"/>
    <w:rsid w:val="00781927"/>
    <w:rsid w:val="00783784"/>
    <w:rsid w:val="00783C88"/>
    <w:rsid w:val="00783DBE"/>
    <w:rsid w:val="00785E9A"/>
    <w:rsid w:val="0078641A"/>
    <w:rsid w:val="00787AAC"/>
    <w:rsid w:val="007905A0"/>
    <w:rsid w:val="0079066B"/>
    <w:rsid w:val="00790A5D"/>
    <w:rsid w:val="00791706"/>
    <w:rsid w:val="00791DDB"/>
    <w:rsid w:val="00792C7B"/>
    <w:rsid w:val="0079346B"/>
    <w:rsid w:val="00794D71"/>
    <w:rsid w:val="007972AB"/>
    <w:rsid w:val="007A3D68"/>
    <w:rsid w:val="007A42F6"/>
    <w:rsid w:val="007A4433"/>
    <w:rsid w:val="007A4E9F"/>
    <w:rsid w:val="007B0406"/>
    <w:rsid w:val="007B0638"/>
    <w:rsid w:val="007B0669"/>
    <w:rsid w:val="007B16FC"/>
    <w:rsid w:val="007B35CA"/>
    <w:rsid w:val="007B49C2"/>
    <w:rsid w:val="007B4CA2"/>
    <w:rsid w:val="007B5191"/>
    <w:rsid w:val="007B5F1B"/>
    <w:rsid w:val="007B73FB"/>
    <w:rsid w:val="007B7F67"/>
    <w:rsid w:val="007C1D6D"/>
    <w:rsid w:val="007C21E1"/>
    <w:rsid w:val="007C2AFC"/>
    <w:rsid w:val="007C381D"/>
    <w:rsid w:val="007C532C"/>
    <w:rsid w:val="007C5BFF"/>
    <w:rsid w:val="007C5D57"/>
    <w:rsid w:val="007C6064"/>
    <w:rsid w:val="007C72E2"/>
    <w:rsid w:val="007D0037"/>
    <w:rsid w:val="007D0C19"/>
    <w:rsid w:val="007D1472"/>
    <w:rsid w:val="007D48A9"/>
    <w:rsid w:val="007D57C1"/>
    <w:rsid w:val="007D5C32"/>
    <w:rsid w:val="007E0043"/>
    <w:rsid w:val="007E0EDA"/>
    <w:rsid w:val="007E22BF"/>
    <w:rsid w:val="007E2A6C"/>
    <w:rsid w:val="007E2B6F"/>
    <w:rsid w:val="007E2BEE"/>
    <w:rsid w:val="007E327A"/>
    <w:rsid w:val="007E469B"/>
    <w:rsid w:val="007E574B"/>
    <w:rsid w:val="007E63F7"/>
    <w:rsid w:val="007F12D0"/>
    <w:rsid w:val="007F2BDC"/>
    <w:rsid w:val="007F2CB4"/>
    <w:rsid w:val="007F57D3"/>
    <w:rsid w:val="007F592B"/>
    <w:rsid w:val="007F5B70"/>
    <w:rsid w:val="007F7661"/>
    <w:rsid w:val="007F76CD"/>
    <w:rsid w:val="007F7920"/>
    <w:rsid w:val="007F7BA6"/>
    <w:rsid w:val="008005E7"/>
    <w:rsid w:val="008006C2"/>
    <w:rsid w:val="00802B15"/>
    <w:rsid w:val="00802BE3"/>
    <w:rsid w:val="00802D2E"/>
    <w:rsid w:val="00802E39"/>
    <w:rsid w:val="00803835"/>
    <w:rsid w:val="00803F75"/>
    <w:rsid w:val="00806599"/>
    <w:rsid w:val="00807004"/>
    <w:rsid w:val="00807879"/>
    <w:rsid w:val="00810067"/>
    <w:rsid w:val="00810442"/>
    <w:rsid w:val="00810759"/>
    <w:rsid w:val="00810B01"/>
    <w:rsid w:val="0081121B"/>
    <w:rsid w:val="0081158D"/>
    <w:rsid w:val="00811A9C"/>
    <w:rsid w:val="0081217D"/>
    <w:rsid w:val="00812F07"/>
    <w:rsid w:val="008135C0"/>
    <w:rsid w:val="008165F1"/>
    <w:rsid w:val="0081758B"/>
    <w:rsid w:val="00817808"/>
    <w:rsid w:val="008178D7"/>
    <w:rsid w:val="008218E0"/>
    <w:rsid w:val="00822017"/>
    <w:rsid w:val="00822787"/>
    <w:rsid w:val="00822F71"/>
    <w:rsid w:val="008234DD"/>
    <w:rsid w:val="00823703"/>
    <w:rsid w:val="00823830"/>
    <w:rsid w:val="00824182"/>
    <w:rsid w:val="00825282"/>
    <w:rsid w:val="00825836"/>
    <w:rsid w:val="00826C53"/>
    <w:rsid w:val="008273CA"/>
    <w:rsid w:val="00832AA6"/>
    <w:rsid w:val="00833F2D"/>
    <w:rsid w:val="00834A9C"/>
    <w:rsid w:val="00834D40"/>
    <w:rsid w:val="00840D0D"/>
    <w:rsid w:val="00841041"/>
    <w:rsid w:val="008415B6"/>
    <w:rsid w:val="008432BB"/>
    <w:rsid w:val="00843ED6"/>
    <w:rsid w:val="008457DC"/>
    <w:rsid w:val="00845B91"/>
    <w:rsid w:val="00846437"/>
    <w:rsid w:val="00847A99"/>
    <w:rsid w:val="00847E08"/>
    <w:rsid w:val="00847E31"/>
    <w:rsid w:val="008502E6"/>
    <w:rsid w:val="00850946"/>
    <w:rsid w:val="00853D2B"/>
    <w:rsid w:val="00853DF9"/>
    <w:rsid w:val="00854171"/>
    <w:rsid w:val="008548AD"/>
    <w:rsid w:val="00856A58"/>
    <w:rsid w:val="00857D97"/>
    <w:rsid w:val="00860D56"/>
    <w:rsid w:val="00860D5D"/>
    <w:rsid w:val="00861785"/>
    <w:rsid w:val="00862222"/>
    <w:rsid w:val="00862AB3"/>
    <w:rsid w:val="00864FF1"/>
    <w:rsid w:val="00866642"/>
    <w:rsid w:val="008666E1"/>
    <w:rsid w:val="00867EE8"/>
    <w:rsid w:val="00870C07"/>
    <w:rsid w:val="00871523"/>
    <w:rsid w:val="00871B50"/>
    <w:rsid w:val="00874A5B"/>
    <w:rsid w:val="0087614B"/>
    <w:rsid w:val="00877C2F"/>
    <w:rsid w:val="00877D94"/>
    <w:rsid w:val="00880286"/>
    <w:rsid w:val="00880C06"/>
    <w:rsid w:val="00881E23"/>
    <w:rsid w:val="00882325"/>
    <w:rsid w:val="008831A8"/>
    <w:rsid w:val="0088361B"/>
    <w:rsid w:val="00884EDD"/>
    <w:rsid w:val="00886026"/>
    <w:rsid w:val="0089094F"/>
    <w:rsid w:val="00890BA8"/>
    <w:rsid w:val="00890D33"/>
    <w:rsid w:val="0089334E"/>
    <w:rsid w:val="00893583"/>
    <w:rsid w:val="00893D55"/>
    <w:rsid w:val="008948DB"/>
    <w:rsid w:val="00894A57"/>
    <w:rsid w:val="008954FB"/>
    <w:rsid w:val="00895A32"/>
    <w:rsid w:val="00895E1C"/>
    <w:rsid w:val="00895E87"/>
    <w:rsid w:val="008974D1"/>
    <w:rsid w:val="008975C3"/>
    <w:rsid w:val="00897650"/>
    <w:rsid w:val="00897D89"/>
    <w:rsid w:val="00897DD5"/>
    <w:rsid w:val="008A173B"/>
    <w:rsid w:val="008A3869"/>
    <w:rsid w:val="008A47C5"/>
    <w:rsid w:val="008A57A1"/>
    <w:rsid w:val="008A631C"/>
    <w:rsid w:val="008A7835"/>
    <w:rsid w:val="008B01EF"/>
    <w:rsid w:val="008B0320"/>
    <w:rsid w:val="008B0D5C"/>
    <w:rsid w:val="008B0E33"/>
    <w:rsid w:val="008B19D8"/>
    <w:rsid w:val="008B266B"/>
    <w:rsid w:val="008B420F"/>
    <w:rsid w:val="008B5D9B"/>
    <w:rsid w:val="008B5E23"/>
    <w:rsid w:val="008B68EB"/>
    <w:rsid w:val="008B69FF"/>
    <w:rsid w:val="008B7824"/>
    <w:rsid w:val="008B7FC8"/>
    <w:rsid w:val="008C10A1"/>
    <w:rsid w:val="008C1417"/>
    <w:rsid w:val="008C27BB"/>
    <w:rsid w:val="008C2C93"/>
    <w:rsid w:val="008C39D6"/>
    <w:rsid w:val="008C4741"/>
    <w:rsid w:val="008C76B3"/>
    <w:rsid w:val="008D0D33"/>
    <w:rsid w:val="008D1DDF"/>
    <w:rsid w:val="008D237B"/>
    <w:rsid w:val="008D3BCB"/>
    <w:rsid w:val="008D5C12"/>
    <w:rsid w:val="008D6A84"/>
    <w:rsid w:val="008D72C9"/>
    <w:rsid w:val="008D7E77"/>
    <w:rsid w:val="008E04AB"/>
    <w:rsid w:val="008E3D8D"/>
    <w:rsid w:val="008E43A6"/>
    <w:rsid w:val="008E43DA"/>
    <w:rsid w:val="008E47A2"/>
    <w:rsid w:val="008E5054"/>
    <w:rsid w:val="008E5906"/>
    <w:rsid w:val="008E6279"/>
    <w:rsid w:val="008E6984"/>
    <w:rsid w:val="008E6A49"/>
    <w:rsid w:val="008E6F9B"/>
    <w:rsid w:val="008F0609"/>
    <w:rsid w:val="008F27B8"/>
    <w:rsid w:val="008F2812"/>
    <w:rsid w:val="008F40AF"/>
    <w:rsid w:val="008F43FC"/>
    <w:rsid w:val="008F4A9C"/>
    <w:rsid w:val="008F4D2C"/>
    <w:rsid w:val="008F5C3F"/>
    <w:rsid w:val="008F7122"/>
    <w:rsid w:val="008F7498"/>
    <w:rsid w:val="009007B3"/>
    <w:rsid w:val="0090218A"/>
    <w:rsid w:val="009024EA"/>
    <w:rsid w:val="00903BC3"/>
    <w:rsid w:val="00905D6D"/>
    <w:rsid w:val="00910835"/>
    <w:rsid w:val="0091191A"/>
    <w:rsid w:val="00913225"/>
    <w:rsid w:val="00913715"/>
    <w:rsid w:val="00916D13"/>
    <w:rsid w:val="0091794E"/>
    <w:rsid w:val="00917FB8"/>
    <w:rsid w:val="00920D30"/>
    <w:rsid w:val="00921242"/>
    <w:rsid w:val="009225BA"/>
    <w:rsid w:val="00923AB3"/>
    <w:rsid w:val="00925958"/>
    <w:rsid w:val="00926A4E"/>
    <w:rsid w:val="009307C4"/>
    <w:rsid w:val="0093116B"/>
    <w:rsid w:val="009317E4"/>
    <w:rsid w:val="0093187A"/>
    <w:rsid w:val="009326C3"/>
    <w:rsid w:val="0093345E"/>
    <w:rsid w:val="00933917"/>
    <w:rsid w:val="0093498C"/>
    <w:rsid w:val="00935BE6"/>
    <w:rsid w:val="00935F1B"/>
    <w:rsid w:val="009363F8"/>
    <w:rsid w:val="00936929"/>
    <w:rsid w:val="009371A8"/>
    <w:rsid w:val="009402F9"/>
    <w:rsid w:val="0094065D"/>
    <w:rsid w:val="0094114C"/>
    <w:rsid w:val="00941339"/>
    <w:rsid w:val="00941792"/>
    <w:rsid w:val="00942760"/>
    <w:rsid w:val="00942DC5"/>
    <w:rsid w:val="00942EE4"/>
    <w:rsid w:val="00943548"/>
    <w:rsid w:val="0094425B"/>
    <w:rsid w:val="0094610D"/>
    <w:rsid w:val="0095128F"/>
    <w:rsid w:val="009512A5"/>
    <w:rsid w:val="0095169E"/>
    <w:rsid w:val="009548E1"/>
    <w:rsid w:val="00954CC1"/>
    <w:rsid w:val="009551CD"/>
    <w:rsid w:val="00956606"/>
    <w:rsid w:val="00956BF9"/>
    <w:rsid w:val="00956C77"/>
    <w:rsid w:val="00956F1C"/>
    <w:rsid w:val="00956F70"/>
    <w:rsid w:val="0095762A"/>
    <w:rsid w:val="00960086"/>
    <w:rsid w:val="00962981"/>
    <w:rsid w:val="00962CDF"/>
    <w:rsid w:val="0096582A"/>
    <w:rsid w:val="00966D09"/>
    <w:rsid w:val="00967CE0"/>
    <w:rsid w:val="009700C7"/>
    <w:rsid w:val="0097159A"/>
    <w:rsid w:val="00972585"/>
    <w:rsid w:val="00973133"/>
    <w:rsid w:val="00973B9B"/>
    <w:rsid w:val="009743EC"/>
    <w:rsid w:val="0097445A"/>
    <w:rsid w:val="00975B89"/>
    <w:rsid w:val="00975BFB"/>
    <w:rsid w:val="00976075"/>
    <w:rsid w:val="00977925"/>
    <w:rsid w:val="0098126E"/>
    <w:rsid w:val="0098585E"/>
    <w:rsid w:val="00985E46"/>
    <w:rsid w:val="00986241"/>
    <w:rsid w:val="00986314"/>
    <w:rsid w:val="0098654A"/>
    <w:rsid w:val="00987032"/>
    <w:rsid w:val="009870BE"/>
    <w:rsid w:val="0099246A"/>
    <w:rsid w:val="0099249A"/>
    <w:rsid w:val="009958EC"/>
    <w:rsid w:val="0099698E"/>
    <w:rsid w:val="00997C2B"/>
    <w:rsid w:val="009A04A9"/>
    <w:rsid w:val="009A1FCC"/>
    <w:rsid w:val="009A28AE"/>
    <w:rsid w:val="009A4FA5"/>
    <w:rsid w:val="009A522F"/>
    <w:rsid w:val="009A5DED"/>
    <w:rsid w:val="009A5F34"/>
    <w:rsid w:val="009A6904"/>
    <w:rsid w:val="009A6ACC"/>
    <w:rsid w:val="009A70E6"/>
    <w:rsid w:val="009B3EB2"/>
    <w:rsid w:val="009B4FC5"/>
    <w:rsid w:val="009B5158"/>
    <w:rsid w:val="009B61EE"/>
    <w:rsid w:val="009B626C"/>
    <w:rsid w:val="009B6AFC"/>
    <w:rsid w:val="009B6EE9"/>
    <w:rsid w:val="009B7F5F"/>
    <w:rsid w:val="009C1426"/>
    <w:rsid w:val="009C2ED5"/>
    <w:rsid w:val="009D0AFE"/>
    <w:rsid w:val="009D1317"/>
    <w:rsid w:val="009D1625"/>
    <w:rsid w:val="009D3107"/>
    <w:rsid w:val="009D3D4C"/>
    <w:rsid w:val="009D4D66"/>
    <w:rsid w:val="009D4E80"/>
    <w:rsid w:val="009D4F68"/>
    <w:rsid w:val="009D5698"/>
    <w:rsid w:val="009E0F3F"/>
    <w:rsid w:val="009E1FF6"/>
    <w:rsid w:val="009E2CA2"/>
    <w:rsid w:val="009E2D34"/>
    <w:rsid w:val="009E2FCD"/>
    <w:rsid w:val="009E35C9"/>
    <w:rsid w:val="009E41C8"/>
    <w:rsid w:val="009E644B"/>
    <w:rsid w:val="009E72E5"/>
    <w:rsid w:val="009E73F1"/>
    <w:rsid w:val="009E7722"/>
    <w:rsid w:val="009F25BA"/>
    <w:rsid w:val="00A01532"/>
    <w:rsid w:val="00A02441"/>
    <w:rsid w:val="00A030F8"/>
    <w:rsid w:val="00A033E9"/>
    <w:rsid w:val="00A05108"/>
    <w:rsid w:val="00A05352"/>
    <w:rsid w:val="00A05920"/>
    <w:rsid w:val="00A102AC"/>
    <w:rsid w:val="00A103A4"/>
    <w:rsid w:val="00A11994"/>
    <w:rsid w:val="00A119BC"/>
    <w:rsid w:val="00A15235"/>
    <w:rsid w:val="00A15280"/>
    <w:rsid w:val="00A15C05"/>
    <w:rsid w:val="00A15C53"/>
    <w:rsid w:val="00A175F4"/>
    <w:rsid w:val="00A20A15"/>
    <w:rsid w:val="00A20AE2"/>
    <w:rsid w:val="00A21284"/>
    <w:rsid w:val="00A23D55"/>
    <w:rsid w:val="00A242C6"/>
    <w:rsid w:val="00A248E4"/>
    <w:rsid w:val="00A251E0"/>
    <w:rsid w:val="00A25E24"/>
    <w:rsid w:val="00A27BE2"/>
    <w:rsid w:val="00A30436"/>
    <w:rsid w:val="00A30657"/>
    <w:rsid w:val="00A308C6"/>
    <w:rsid w:val="00A32BA0"/>
    <w:rsid w:val="00A33AA4"/>
    <w:rsid w:val="00A340D3"/>
    <w:rsid w:val="00A34B4C"/>
    <w:rsid w:val="00A35038"/>
    <w:rsid w:val="00A35FA2"/>
    <w:rsid w:val="00A360DE"/>
    <w:rsid w:val="00A36242"/>
    <w:rsid w:val="00A37499"/>
    <w:rsid w:val="00A40C21"/>
    <w:rsid w:val="00A42B82"/>
    <w:rsid w:val="00A43665"/>
    <w:rsid w:val="00A43C5E"/>
    <w:rsid w:val="00A4470E"/>
    <w:rsid w:val="00A44F36"/>
    <w:rsid w:val="00A45560"/>
    <w:rsid w:val="00A45793"/>
    <w:rsid w:val="00A45DC7"/>
    <w:rsid w:val="00A46077"/>
    <w:rsid w:val="00A46BF0"/>
    <w:rsid w:val="00A472D3"/>
    <w:rsid w:val="00A50924"/>
    <w:rsid w:val="00A5215D"/>
    <w:rsid w:val="00A52A41"/>
    <w:rsid w:val="00A52B9E"/>
    <w:rsid w:val="00A52DFA"/>
    <w:rsid w:val="00A52F2A"/>
    <w:rsid w:val="00A555B4"/>
    <w:rsid w:val="00A55789"/>
    <w:rsid w:val="00A56D68"/>
    <w:rsid w:val="00A601F1"/>
    <w:rsid w:val="00A60A53"/>
    <w:rsid w:val="00A60BD8"/>
    <w:rsid w:val="00A610B4"/>
    <w:rsid w:val="00A61FE2"/>
    <w:rsid w:val="00A6407B"/>
    <w:rsid w:val="00A6446F"/>
    <w:rsid w:val="00A65BF8"/>
    <w:rsid w:val="00A66C02"/>
    <w:rsid w:val="00A67150"/>
    <w:rsid w:val="00A676B4"/>
    <w:rsid w:val="00A6781F"/>
    <w:rsid w:val="00A70631"/>
    <w:rsid w:val="00A712F4"/>
    <w:rsid w:val="00A7261A"/>
    <w:rsid w:val="00A7376C"/>
    <w:rsid w:val="00A73E37"/>
    <w:rsid w:val="00A751CC"/>
    <w:rsid w:val="00A76434"/>
    <w:rsid w:val="00A7689E"/>
    <w:rsid w:val="00A76921"/>
    <w:rsid w:val="00A77875"/>
    <w:rsid w:val="00A80D30"/>
    <w:rsid w:val="00A80D48"/>
    <w:rsid w:val="00A81CF7"/>
    <w:rsid w:val="00A823C8"/>
    <w:rsid w:val="00A82E40"/>
    <w:rsid w:val="00A839C9"/>
    <w:rsid w:val="00A83DB4"/>
    <w:rsid w:val="00A84AED"/>
    <w:rsid w:val="00A85906"/>
    <w:rsid w:val="00A85CB6"/>
    <w:rsid w:val="00A866F4"/>
    <w:rsid w:val="00A90A96"/>
    <w:rsid w:val="00A91629"/>
    <w:rsid w:val="00A943D4"/>
    <w:rsid w:val="00A94E0A"/>
    <w:rsid w:val="00A962AD"/>
    <w:rsid w:val="00A979BB"/>
    <w:rsid w:val="00AA00CB"/>
    <w:rsid w:val="00AA0865"/>
    <w:rsid w:val="00AA1037"/>
    <w:rsid w:val="00AA1DFD"/>
    <w:rsid w:val="00AA42DC"/>
    <w:rsid w:val="00AA433F"/>
    <w:rsid w:val="00AA4770"/>
    <w:rsid w:val="00AA71EE"/>
    <w:rsid w:val="00AA795C"/>
    <w:rsid w:val="00AB082F"/>
    <w:rsid w:val="00AB0D00"/>
    <w:rsid w:val="00AB402A"/>
    <w:rsid w:val="00AB4DE0"/>
    <w:rsid w:val="00AB54F9"/>
    <w:rsid w:val="00AB550F"/>
    <w:rsid w:val="00AB603D"/>
    <w:rsid w:val="00AB6531"/>
    <w:rsid w:val="00AB6A52"/>
    <w:rsid w:val="00AB73AA"/>
    <w:rsid w:val="00AC090B"/>
    <w:rsid w:val="00AC0EB4"/>
    <w:rsid w:val="00AC21DF"/>
    <w:rsid w:val="00AC23C6"/>
    <w:rsid w:val="00AC259E"/>
    <w:rsid w:val="00AC496A"/>
    <w:rsid w:val="00AC4D54"/>
    <w:rsid w:val="00AC6BB7"/>
    <w:rsid w:val="00AC6E51"/>
    <w:rsid w:val="00AC70D6"/>
    <w:rsid w:val="00AC7B70"/>
    <w:rsid w:val="00AD0F76"/>
    <w:rsid w:val="00AD207D"/>
    <w:rsid w:val="00AD23A5"/>
    <w:rsid w:val="00AD28CC"/>
    <w:rsid w:val="00AD4454"/>
    <w:rsid w:val="00AD4CC1"/>
    <w:rsid w:val="00AD52B9"/>
    <w:rsid w:val="00AD68EB"/>
    <w:rsid w:val="00AD77CD"/>
    <w:rsid w:val="00AE0533"/>
    <w:rsid w:val="00AE0C49"/>
    <w:rsid w:val="00AE0EB8"/>
    <w:rsid w:val="00AE2A2A"/>
    <w:rsid w:val="00AE2AB6"/>
    <w:rsid w:val="00AE34B4"/>
    <w:rsid w:val="00AE464C"/>
    <w:rsid w:val="00AE485D"/>
    <w:rsid w:val="00AF10EA"/>
    <w:rsid w:val="00AF214A"/>
    <w:rsid w:val="00AF4E85"/>
    <w:rsid w:val="00AF6130"/>
    <w:rsid w:val="00AF6173"/>
    <w:rsid w:val="00AF6880"/>
    <w:rsid w:val="00B035F8"/>
    <w:rsid w:val="00B0477D"/>
    <w:rsid w:val="00B05E29"/>
    <w:rsid w:val="00B07FDE"/>
    <w:rsid w:val="00B109F6"/>
    <w:rsid w:val="00B1187C"/>
    <w:rsid w:val="00B130AD"/>
    <w:rsid w:val="00B1555D"/>
    <w:rsid w:val="00B15A3F"/>
    <w:rsid w:val="00B16544"/>
    <w:rsid w:val="00B16E01"/>
    <w:rsid w:val="00B21F5C"/>
    <w:rsid w:val="00B22956"/>
    <w:rsid w:val="00B247DB"/>
    <w:rsid w:val="00B262D2"/>
    <w:rsid w:val="00B26B34"/>
    <w:rsid w:val="00B301DD"/>
    <w:rsid w:val="00B30613"/>
    <w:rsid w:val="00B306D3"/>
    <w:rsid w:val="00B3118B"/>
    <w:rsid w:val="00B31E71"/>
    <w:rsid w:val="00B322D6"/>
    <w:rsid w:val="00B33D66"/>
    <w:rsid w:val="00B34961"/>
    <w:rsid w:val="00B36349"/>
    <w:rsid w:val="00B3720C"/>
    <w:rsid w:val="00B404B2"/>
    <w:rsid w:val="00B42525"/>
    <w:rsid w:val="00B4379B"/>
    <w:rsid w:val="00B43802"/>
    <w:rsid w:val="00B440E2"/>
    <w:rsid w:val="00B4448C"/>
    <w:rsid w:val="00B44A96"/>
    <w:rsid w:val="00B44E28"/>
    <w:rsid w:val="00B46582"/>
    <w:rsid w:val="00B47635"/>
    <w:rsid w:val="00B47F04"/>
    <w:rsid w:val="00B515F3"/>
    <w:rsid w:val="00B51699"/>
    <w:rsid w:val="00B521B7"/>
    <w:rsid w:val="00B5288E"/>
    <w:rsid w:val="00B529F2"/>
    <w:rsid w:val="00B52C4F"/>
    <w:rsid w:val="00B55945"/>
    <w:rsid w:val="00B5649C"/>
    <w:rsid w:val="00B5676A"/>
    <w:rsid w:val="00B56EE9"/>
    <w:rsid w:val="00B56F1E"/>
    <w:rsid w:val="00B577CD"/>
    <w:rsid w:val="00B57F87"/>
    <w:rsid w:val="00B60BCC"/>
    <w:rsid w:val="00B618E9"/>
    <w:rsid w:val="00B64438"/>
    <w:rsid w:val="00B64508"/>
    <w:rsid w:val="00B6466B"/>
    <w:rsid w:val="00B64A30"/>
    <w:rsid w:val="00B64C09"/>
    <w:rsid w:val="00B658F2"/>
    <w:rsid w:val="00B659C8"/>
    <w:rsid w:val="00B65BE2"/>
    <w:rsid w:val="00B65D48"/>
    <w:rsid w:val="00B66CD0"/>
    <w:rsid w:val="00B66E0C"/>
    <w:rsid w:val="00B70019"/>
    <w:rsid w:val="00B70DE0"/>
    <w:rsid w:val="00B73E43"/>
    <w:rsid w:val="00B75CA4"/>
    <w:rsid w:val="00B76CCB"/>
    <w:rsid w:val="00B77243"/>
    <w:rsid w:val="00B77C29"/>
    <w:rsid w:val="00B81053"/>
    <w:rsid w:val="00B81841"/>
    <w:rsid w:val="00B81DAD"/>
    <w:rsid w:val="00B830AA"/>
    <w:rsid w:val="00B836AF"/>
    <w:rsid w:val="00B839F1"/>
    <w:rsid w:val="00B84075"/>
    <w:rsid w:val="00B8544E"/>
    <w:rsid w:val="00B860B0"/>
    <w:rsid w:val="00B86537"/>
    <w:rsid w:val="00B90010"/>
    <w:rsid w:val="00B90385"/>
    <w:rsid w:val="00B905F0"/>
    <w:rsid w:val="00B91641"/>
    <w:rsid w:val="00B930BE"/>
    <w:rsid w:val="00B950ED"/>
    <w:rsid w:val="00BA0608"/>
    <w:rsid w:val="00BA103B"/>
    <w:rsid w:val="00BA13FF"/>
    <w:rsid w:val="00BA1F86"/>
    <w:rsid w:val="00BA308C"/>
    <w:rsid w:val="00BA586D"/>
    <w:rsid w:val="00BA5EA1"/>
    <w:rsid w:val="00BA7A1A"/>
    <w:rsid w:val="00BB17D1"/>
    <w:rsid w:val="00BB1AE9"/>
    <w:rsid w:val="00BB22A3"/>
    <w:rsid w:val="00BB23C8"/>
    <w:rsid w:val="00BB443C"/>
    <w:rsid w:val="00BB4BB7"/>
    <w:rsid w:val="00BB50F2"/>
    <w:rsid w:val="00BB516C"/>
    <w:rsid w:val="00BB5303"/>
    <w:rsid w:val="00BB554A"/>
    <w:rsid w:val="00BB55B7"/>
    <w:rsid w:val="00BB574B"/>
    <w:rsid w:val="00BB64D9"/>
    <w:rsid w:val="00BB6B4C"/>
    <w:rsid w:val="00BB6BA3"/>
    <w:rsid w:val="00BB72AF"/>
    <w:rsid w:val="00BC2CC6"/>
    <w:rsid w:val="00BC2DF1"/>
    <w:rsid w:val="00BC353F"/>
    <w:rsid w:val="00BC3706"/>
    <w:rsid w:val="00BC54C0"/>
    <w:rsid w:val="00BC5F9F"/>
    <w:rsid w:val="00BC689C"/>
    <w:rsid w:val="00BC6DBA"/>
    <w:rsid w:val="00BC7B9E"/>
    <w:rsid w:val="00BC7C94"/>
    <w:rsid w:val="00BD0312"/>
    <w:rsid w:val="00BD3BFE"/>
    <w:rsid w:val="00BD544A"/>
    <w:rsid w:val="00BD608D"/>
    <w:rsid w:val="00BD73B8"/>
    <w:rsid w:val="00BE04B0"/>
    <w:rsid w:val="00BE2BEA"/>
    <w:rsid w:val="00BE2DFD"/>
    <w:rsid w:val="00BE40BD"/>
    <w:rsid w:val="00BE4228"/>
    <w:rsid w:val="00BE51B8"/>
    <w:rsid w:val="00BF110B"/>
    <w:rsid w:val="00BF11FF"/>
    <w:rsid w:val="00BF1969"/>
    <w:rsid w:val="00BF1BE8"/>
    <w:rsid w:val="00BF3D51"/>
    <w:rsid w:val="00BF4663"/>
    <w:rsid w:val="00BF500D"/>
    <w:rsid w:val="00BF6172"/>
    <w:rsid w:val="00C00A01"/>
    <w:rsid w:val="00C00EF8"/>
    <w:rsid w:val="00C011C3"/>
    <w:rsid w:val="00C02124"/>
    <w:rsid w:val="00C03994"/>
    <w:rsid w:val="00C03A3F"/>
    <w:rsid w:val="00C04B27"/>
    <w:rsid w:val="00C06AD0"/>
    <w:rsid w:val="00C06B50"/>
    <w:rsid w:val="00C07087"/>
    <w:rsid w:val="00C07F69"/>
    <w:rsid w:val="00C104FC"/>
    <w:rsid w:val="00C10BF8"/>
    <w:rsid w:val="00C11E12"/>
    <w:rsid w:val="00C12603"/>
    <w:rsid w:val="00C15175"/>
    <w:rsid w:val="00C16AEE"/>
    <w:rsid w:val="00C17BB0"/>
    <w:rsid w:val="00C20506"/>
    <w:rsid w:val="00C207F9"/>
    <w:rsid w:val="00C20CB7"/>
    <w:rsid w:val="00C20EC7"/>
    <w:rsid w:val="00C21EB0"/>
    <w:rsid w:val="00C22195"/>
    <w:rsid w:val="00C23BA3"/>
    <w:rsid w:val="00C244ED"/>
    <w:rsid w:val="00C24D73"/>
    <w:rsid w:val="00C253D7"/>
    <w:rsid w:val="00C25A1A"/>
    <w:rsid w:val="00C3033F"/>
    <w:rsid w:val="00C308EA"/>
    <w:rsid w:val="00C31238"/>
    <w:rsid w:val="00C313E7"/>
    <w:rsid w:val="00C31A9A"/>
    <w:rsid w:val="00C34976"/>
    <w:rsid w:val="00C35A6D"/>
    <w:rsid w:val="00C35C6D"/>
    <w:rsid w:val="00C3645A"/>
    <w:rsid w:val="00C37889"/>
    <w:rsid w:val="00C40767"/>
    <w:rsid w:val="00C42098"/>
    <w:rsid w:val="00C4209B"/>
    <w:rsid w:val="00C4215E"/>
    <w:rsid w:val="00C4237F"/>
    <w:rsid w:val="00C432FA"/>
    <w:rsid w:val="00C45AE4"/>
    <w:rsid w:val="00C465E1"/>
    <w:rsid w:val="00C50B96"/>
    <w:rsid w:val="00C5347E"/>
    <w:rsid w:val="00C53783"/>
    <w:rsid w:val="00C53932"/>
    <w:rsid w:val="00C560C0"/>
    <w:rsid w:val="00C5668B"/>
    <w:rsid w:val="00C56FF9"/>
    <w:rsid w:val="00C574BF"/>
    <w:rsid w:val="00C60812"/>
    <w:rsid w:val="00C63B04"/>
    <w:rsid w:val="00C652D2"/>
    <w:rsid w:val="00C66421"/>
    <w:rsid w:val="00C67CAD"/>
    <w:rsid w:val="00C707C3"/>
    <w:rsid w:val="00C70EE9"/>
    <w:rsid w:val="00C717C1"/>
    <w:rsid w:val="00C72531"/>
    <w:rsid w:val="00C73381"/>
    <w:rsid w:val="00C76413"/>
    <w:rsid w:val="00C76532"/>
    <w:rsid w:val="00C76A7A"/>
    <w:rsid w:val="00C76E55"/>
    <w:rsid w:val="00C803BB"/>
    <w:rsid w:val="00C82233"/>
    <w:rsid w:val="00C82A21"/>
    <w:rsid w:val="00C82E8E"/>
    <w:rsid w:val="00C82FBC"/>
    <w:rsid w:val="00C85780"/>
    <w:rsid w:val="00C862A5"/>
    <w:rsid w:val="00C86757"/>
    <w:rsid w:val="00C87C63"/>
    <w:rsid w:val="00C9002B"/>
    <w:rsid w:val="00C90704"/>
    <w:rsid w:val="00C91082"/>
    <w:rsid w:val="00C954B0"/>
    <w:rsid w:val="00C959A5"/>
    <w:rsid w:val="00C97955"/>
    <w:rsid w:val="00CA25EC"/>
    <w:rsid w:val="00CA2E41"/>
    <w:rsid w:val="00CA59D1"/>
    <w:rsid w:val="00CA6AAE"/>
    <w:rsid w:val="00CB007F"/>
    <w:rsid w:val="00CB1AB8"/>
    <w:rsid w:val="00CB2ACE"/>
    <w:rsid w:val="00CB4B12"/>
    <w:rsid w:val="00CB5693"/>
    <w:rsid w:val="00CB59FE"/>
    <w:rsid w:val="00CB75A3"/>
    <w:rsid w:val="00CC0157"/>
    <w:rsid w:val="00CC0FA6"/>
    <w:rsid w:val="00CC361D"/>
    <w:rsid w:val="00CC3654"/>
    <w:rsid w:val="00CC38AD"/>
    <w:rsid w:val="00CC5761"/>
    <w:rsid w:val="00CC621D"/>
    <w:rsid w:val="00CC64D7"/>
    <w:rsid w:val="00CC6E2A"/>
    <w:rsid w:val="00CC7152"/>
    <w:rsid w:val="00CC731C"/>
    <w:rsid w:val="00CC750A"/>
    <w:rsid w:val="00CC7E92"/>
    <w:rsid w:val="00CD15A1"/>
    <w:rsid w:val="00CD1CC7"/>
    <w:rsid w:val="00CD26F3"/>
    <w:rsid w:val="00CD4256"/>
    <w:rsid w:val="00CD427B"/>
    <w:rsid w:val="00CD5370"/>
    <w:rsid w:val="00CD64FD"/>
    <w:rsid w:val="00CD72CD"/>
    <w:rsid w:val="00CD7D07"/>
    <w:rsid w:val="00CD7D56"/>
    <w:rsid w:val="00CD7DBC"/>
    <w:rsid w:val="00CE0A5E"/>
    <w:rsid w:val="00CE0EAC"/>
    <w:rsid w:val="00CE23AA"/>
    <w:rsid w:val="00CE2FCE"/>
    <w:rsid w:val="00CE3614"/>
    <w:rsid w:val="00CE3C8D"/>
    <w:rsid w:val="00CE4063"/>
    <w:rsid w:val="00CE57F5"/>
    <w:rsid w:val="00CE6B57"/>
    <w:rsid w:val="00CE7321"/>
    <w:rsid w:val="00CE7B9D"/>
    <w:rsid w:val="00CE7EAD"/>
    <w:rsid w:val="00CF2177"/>
    <w:rsid w:val="00CF4917"/>
    <w:rsid w:val="00CF5F63"/>
    <w:rsid w:val="00CF6551"/>
    <w:rsid w:val="00CF6E62"/>
    <w:rsid w:val="00D0009C"/>
    <w:rsid w:val="00D0012C"/>
    <w:rsid w:val="00D00153"/>
    <w:rsid w:val="00D002B4"/>
    <w:rsid w:val="00D004C6"/>
    <w:rsid w:val="00D0096C"/>
    <w:rsid w:val="00D0327D"/>
    <w:rsid w:val="00D0510A"/>
    <w:rsid w:val="00D06334"/>
    <w:rsid w:val="00D11084"/>
    <w:rsid w:val="00D16C40"/>
    <w:rsid w:val="00D22259"/>
    <w:rsid w:val="00D223D5"/>
    <w:rsid w:val="00D225A1"/>
    <w:rsid w:val="00D23146"/>
    <w:rsid w:val="00D23259"/>
    <w:rsid w:val="00D23655"/>
    <w:rsid w:val="00D27476"/>
    <w:rsid w:val="00D27658"/>
    <w:rsid w:val="00D27DD1"/>
    <w:rsid w:val="00D30341"/>
    <w:rsid w:val="00D30848"/>
    <w:rsid w:val="00D31D19"/>
    <w:rsid w:val="00D35B62"/>
    <w:rsid w:val="00D35DDA"/>
    <w:rsid w:val="00D3611E"/>
    <w:rsid w:val="00D36651"/>
    <w:rsid w:val="00D4047D"/>
    <w:rsid w:val="00D40F6B"/>
    <w:rsid w:val="00D4138A"/>
    <w:rsid w:val="00D425CF"/>
    <w:rsid w:val="00D434F6"/>
    <w:rsid w:val="00D43962"/>
    <w:rsid w:val="00D43B21"/>
    <w:rsid w:val="00D43BD0"/>
    <w:rsid w:val="00D4446F"/>
    <w:rsid w:val="00D4449E"/>
    <w:rsid w:val="00D4489F"/>
    <w:rsid w:val="00D45677"/>
    <w:rsid w:val="00D45B41"/>
    <w:rsid w:val="00D45CF0"/>
    <w:rsid w:val="00D47052"/>
    <w:rsid w:val="00D479EE"/>
    <w:rsid w:val="00D5201A"/>
    <w:rsid w:val="00D52FA8"/>
    <w:rsid w:val="00D53282"/>
    <w:rsid w:val="00D537AA"/>
    <w:rsid w:val="00D54C35"/>
    <w:rsid w:val="00D55CB1"/>
    <w:rsid w:val="00D55E51"/>
    <w:rsid w:val="00D60203"/>
    <w:rsid w:val="00D60A3B"/>
    <w:rsid w:val="00D61513"/>
    <w:rsid w:val="00D61872"/>
    <w:rsid w:val="00D62F50"/>
    <w:rsid w:val="00D63408"/>
    <w:rsid w:val="00D63CB0"/>
    <w:rsid w:val="00D64CE1"/>
    <w:rsid w:val="00D64F4A"/>
    <w:rsid w:val="00D6700B"/>
    <w:rsid w:val="00D713E8"/>
    <w:rsid w:val="00D72D9C"/>
    <w:rsid w:val="00D73CE3"/>
    <w:rsid w:val="00D74F77"/>
    <w:rsid w:val="00D767D6"/>
    <w:rsid w:val="00D769E5"/>
    <w:rsid w:val="00D77B53"/>
    <w:rsid w:val="00D801C4"/>
    <w:rsid w:val="00D80678"/>
    <w:rsid w:val="00D82CB6"/>
    <w:rsid w:val="00D832B9"/>
    <w:rsid w:val="00D83DF1"/>
    <w:rsid w:val="00D83F15"/>
    <w:rsid w:val="00D842A4"/>
    <w:rsid w:val="00D85215"/>
    <w:rsid w:val="00D90776"/>
    <w:rsid w:val="00D921FC"/>
    <w:rsid w:val="00D92D27"/>
    <w:rsid w:val="00D92F17"/>
    <w:rsid w:val="00D93C89"/>
    <w:rsid w:val="00D94A0C"/>
    <w:rsid w:val="00D9544B"/>
    <w:rsid w:val="00D96790"/>
    <w:rsid w:val="00D97BC6"/>
    <w:rsid w:val="00DA01A2"/>
    <w:rsid w:val="00DA0926"/>
    <w:rsid w:val="00DA1F87"/>
    <w:rsid w:val="00DA2A2B"/>
    <w:rsid w:val="00DA3528"/>
    <w:rsid w:val="00DA39EE"/>
    <w:rsid w:val="00DA412A"/>
    <w:rsid w:val="00DA41E2"/>
    <w:rsid w:val="00DA51B7"/>
    <w:rsid w:val="00DA55B3"/>
    <w:rsid w:val="00DA5914"/>
    <w:rsid w:val="00DA73D1"/>
    <w:rsid w:val="00DB0D9B"/>
    <w:rsid w:val="00DB1A5D"/>
    <w:rsid w:val="00DB2253"/>
    <w:rsid w:val="00DB2652"/>
    <w:rsid w:val="00DB5692"/>
    <w:rsid w:val="00DB59DB"/>
    <w:rsid w:val="00DB7666"/>
    <w:rsid w:val="00DC14BF"/>
    <w:rsid w:val="00DC2192"/>
    <w:rsid w:val="00DC24B5"/>
    <w:rsid w:val="00DC2BAA"/>
    <w:rsid w:val="00DC2DA6"/>
    <w:rsid w:val="00DC3595"/>
    <w:rsid w:val="00DC3ED8"/>
    <w:rsid w:val="00DC53D9"/>
    <w:rsid w:val="00DC5A6D"/>
    <w:rsid w:val="00DC5D5F"/>
    <w:rsid w:val="00DC5E50"/>
    <w:rsid w:val="00DC61DB"/>
    <w:rsid w:val="00DC7757"/>
    <w:rsid w:val="00DD0929"/>
    <w:rsid w:val="00DD1BD8"/>
    <w:rsid w:val="00DD3540"/>
    <w:rsid w:val="00DD36E8"/>
    <w:rsid w:val="00DD3760"/>
    <w:rsid w:val="00DD724D"/>
    <w:rsid w:val="00DD7A5B"/>
    <w:rsid w:val="00DD7FBA"/>
    <w:rsid w:val="00DE10BF"/>
    <w:rsid w:val="00DE129E"/>
    <w:rsid w:val="00DE4036"/>
    <w:rsid w:val="00DE42D0"/>
    <w:rsid w:val="00DE56DB"/>
    <w:rsid w:val="00DE5CDF"/>
    <w:rsid w:val="00DE5E39"/>
    <w:rsid w:val="00DE68BD"/>
    <w:rsid w:val="00DE6C04"/>
    <w:rsid w:val="00DE7277"/>
    <w:rsid w:val="00DF0C43"/>
    <w:rsid w:val="00DF0EBA"/>
    <w:rsid w:val="00DF108F"/>
    <w:rsid w:val="00DF1ED9"/>
    <w:rsid w:val="00DF2DA6"/>
    <w:rsid w:val="00DF5C89"/>
    <w:rsid w:val="00DF63BF"/>
    <w:rsid w:val="00DF643C"/>
    <w:rsid w:val="00DF6AF5"/>
    <w:rsid w:val="00DF7C9B"/>
    <w:rsid w:val="00DF7EEE"/>
    <w:rsid w:val="00E021BF"/>
    <w:rsid w:val="00E02408"/>
    <w:rsid w:val="00E02A47"/>
    <w:rsid w:val="00E02BC4"/>
    <w:rsid w:val="00E039E9"/>
    <w:rsid w:val="00E045EA"/>
    <w:rsid w:val="00E07607"/>
    <w:rsid w:val="00E11E10"/>
    <w:rsid w:val="00E12123"/>
    <w:rsid w:val="00E124FF"/>
    <w:rsid w:val="00E1351D"/>
    <w:rsid w:val="00E13EDE"/>
    <w:rsid w:val="00E16153"/>
    <w:rsid w:val="00E16960"/>
    <w:rsid w:val="00E1699E"/>
    <w:rsid w:val="00E17BDB"/>
    <w:rsid w:val="00E20DA3"/>
    <w:rsid w:val="00E217D1"/>
    <w:rsid w:val="00E2299D"/>
    <w:rsid w:val="00E23207"/>
    <w:rsid w:val="00E23AE6"/>
    <w:rsid w:val="00E23C39"/>
    <w:rsid w:val="00E25F2D"/>
    <w:rsid w:val="00E26A22"/>
    <w:rsid w:val="00E30A9F"/>
    <w:rsid w:val="00E32A10"/>
    <w:rsid w:val="00E32BD2"/>
    <w:rsid w:val="00E34DFC"/>
    <w:rsid w:val="00E358A9"/>
    <w:rsid w:val="00E35B89"/>
    <w:rsid w:val="00E35E49"/>
    <w:rsid w:val="00E36DCC"/>
    <w:rsid w:val="00E404B1"/>
    <w:rsid w:val="00E41C9D"/>
    <w:rsid w:val="00E426C3"/>
    <w:rsid w:val="00E428F0"/>
    <w:rsid w:val="00E44DAD"/>
    <w:rsid w:val="00E50D7E"/>
    <w:rsid w:val="00E51502"/>
    <w:rsid w:val="00E52E03"/>
    <w:rsid w:val="00E533AF"/>
    <w:rsid w:val="00E53EE2"/>
    <w:rsid w:val="00E54A15"/>
    <w:rsid w:val="00E54BEB"/>
    <w:rsid w:val="00E5538C"/>
    <w:rsid w:val="00E562C9"/>
    <w:rsid w:val="00E568B6"/>
    <w:rsid w:val="00E569DA"/>
    <w:rsid w:val="00E57852"/>
    <w:rsid w:val="00E57B00"/>
    <w:rsid w:val="00E6229A"/>
    <w:rsid w:val="00E62D0E"/>
    <w:rsid w:val="00E64668"/>
    <w:rsid w:val="00E67C68"/>
    <w:rsid w:val="00E708EB"/>
    <w:rsid w:val="00E70937"/>
    <w:rsid w:val="00E71B05"/>
    <w:rsid w:val="00E71C5F"/>
    <w:rsid w:val="00E72048"/>
    <w:rsid w:val="00E72B03"/>
    <w:rsid w:val="00E75AE6"/>
    <w:rsid w:val="00E82A0D"/>
    <w:rsid w:val="00E83214"/>
    <w:rsid w:val="00E84C1C"/>
    <w:rsid w:val="00E85863"/>
    <w:rsid w:val="00E85ADA"/>
    <w:rsid w:val="00E861DD"/>
    <w:rsid w:val="00E879F6"/>
    <w:rsid w:val="00E918E1"/>
    <w:rsid w:val="00E92517"/>
    <w:rsid w:val="00E940F6"/>
    <w:rsid w:val="00E94571"/>
    <w:rsid w:val="00E9696D"/>
    <w:rsid w:val="00E9718F"/>
    <w:rsid w:val="00E97C96"/>
    <w:rsid w:val="00E97FFB"/>
    <w:rsid w:val="00EA028B"/>
    <w:rsid w:val="00EA0C44"/>
    <w:rsid w:val="00EA2D28"/>
    <w:rsid w:val="00EA3BFF"/>
    <w:rsid w:val="00EA61EB"/>
    <w:rsid w:val="00EA6EA8"/>
    <w:rsid w:val="00EA7F7A"/>
    <w:rsid w:val="00EB16D3"/>
    <w:rsid w:val="00EB2C1C"/>
    <w:rsid w:val="00EB2CF4"/>
    <w:rsid w:val="00EB2D24"/>
    <w:rsid w:val="00EB3636"/>
    <w:rsid w:val="00EB3AB6"/>
    <w:rsid w:val="00EB6239"/>
    <w:rsid w:val="00EB6611"/>
    <w:rsid w:val="00EC2339"/>
    <w:rsid w:val="00EC2371"/>
    <w:rsid w:val="00EC28DC"/>
    <w:rsid w:val="00EC5559"/>
    <w:rsid w:val="00EC6121"/>
    <w:rsid w:val="00EC6245"/>
    <w:rsid w:val="00EC6832"/>
    <w:rsid w:val="00EC7027"/>
    <w:rsid w:val="00EC7958"/>
    <w:rsid w:val="00EC7D46"/>
    <w:rsid w:val="00ED1B87"/>
    <w:rsid w:val="00ED2C5D"/>
    <w:rsid w:val="00ED3244"/>
    <w:rsid w:val="00EE1760"/>
    <w:rsid w:val="00EE282D"/>
    <w:rsid w:val="00EE32DF"/>
    <w:rsid w:val="00EE4E17"/>
    <w:rsid w:val="00EE55D4"/>
    <w:rsid w:val="00EE6D1D"/>
    <w:rsid w:val="00EE7694"/>
    <w:rsid w:val="00EF0587"/>
    <w:rsid w:val="00EF0CB1"/>
    <w:rsid w:val="00EF25EF"/>
    <w:rsid w:val="00EF2F0F"/>
    <w:rsid w:val="00EF33F2"/>
    <w:rsid w:val="00EF3B42"/>
    <w:rsid w:val="00EF4481"/>
    <w:rsid w:val="00EF47DC"/>
    <w:rsid w:val="00EF52F2"/>
    <w:rsid w:val="00EF66D2"/>
    <w:rsid w:val="00EF727E"/>
    <w:rsid w:val="00EF72D0"/>
    <w:rsid w:val="00EF7822"/>
    <w:rsid w:val="00F003D2"/>
    <w:rsid w:val="00F0062E"/>
    <w:rsid w:val="00F006D4"/>
    <w:rsid w:val="00F01E5D"/>
    <w:rsid w:val="00F027B9"/>
    <w:rsid w:val="00F03A8B"/>
    <w:rsid w:val="00F04B59"/>
    <w:rsid w:val="00F04C4E"/>
    <w:rsid w:val="00F06DBC"/>
    <w:rsid w:val="00F072D8"/>
    <w:rsid w:val="00F106CD"/>
    <w:rsid w:val="00F12516"/>
    <w:rsid w:val="00F12A48"/>
    <w:rsid w:val="00F131EF"/>
    <w:rsid w:val="00F14905"/>
    <w:rsid w:val="00F15A59"/>
    <w:rsid w:val="00F161F5"/>
    <w:rsid w:val="00F1675E"/>
    <w:rsid w:val="00F17176"/>
    <w:rsid w:val="00F207F8"/>
    <w:rsid w:val="00F20AFD"/>
    <w:rsid w:val="00F20CD5"/>
    <w:rsid w:val="00F21CBB"/>
    <w:rsid w:val="00F2308A"/>
    <w:rsid w:val="00F233A2"/>
    <w:rsid w:val="00F249EC"/>
    <w:rsid w:val="00F25511"/>
    <w:rsid w:val="00F25EC4"/>
    <w:rsid w:val="00F26467"/>
    <w:rsid w:val="00F26605"/>
    <w:rsid w:val="00F271FD"/>
    <w:rsid w:val="00F276E8"/>
    <w:rsid w:val="00F27D6C"/>
    <w:rsid w:val="00F31D94"/>
    <w:rsid w:val="00F31F09"/>
    <w:rsid w:val="00F32368"/>
    <w:rsid w:val="00F32597"/>
    <w:rsid w:val="00F32915"/>
    <w:rsid w:val="00F3298A"/>
    <w:rsid w:val="00F32C7C"/>
    <w:rsid w:val="00F34F00"/>
    <w:rsid w:val="00F372B7"/>
    <w:rsid w:val="00F37AC5"/>
    <w:rsid w:val="00F402A6"/>
    <w:rsid w:val="00F413EE"/>
    <w:rsid w:val="00F416FC"/>
    <w:rsid w:val="00F42288"/>
    <w:rsid w:val="00F425E7"/>
    <w:rsid w:val="00F43B47"/>
    <w:rsid w:val="00F44AA4"/>
    <w:rsid w:val="00F47595"/>
    <w:rsid w:val="00F47A25"/>
    <w:rsid w:val="00F47E61"/>
    <w:rsid w:val="00F47FB9"/>
    <w:rsid w:val="00F537DC"/>
    <w:rsid w:val="00F53896"/>
    <w:rsid w:val="00F56805"/>
    <w:rsid w:val="00F57168"/>
    <w:rsid w:val="00F57BAC"/>
    <w:rsid w:val="00F57CD9"/>
    <w:rsid w:val="00F614E7"/>
    <w:rsid w:val="00F6208D"/>
    <w:rsid w:val="00F63061"/>
    <w:rsid w:val="00F638FC"/>
    <w:rsid w:val="00F65240"/>
    <w:rsid w:val="00F67EC4"/>
    <w:rsid w:val="00F70189"/>
    <w:rsid w:val="00F7070A"/>
    <w:rsid w:val="00F70B53"/>
    <w:rsid w:val="00F71871"/>
    <w:rsid w:val="00F74923"/>
    <w:rsid w:val="00F75098"/>
    <w:rsid w:val="00F76190"/>
    <w:rsid w:val="00F76C5A"/>
    <w:rsid w:val="00F803D9"/>
    <w:rsid w:val="00F81599"/>
    <w:rsid w:val="00F83584"/>
    <w:rsid w:val="00F878C9"/>
    <w:rsid w:val="00F87AAC"/>
    <w:rsid w:val="00F90B74"/>
    <w:rsid w:val="00F9145D"/>
    <w:rsid w:val="00F933CF"/>
    <w:rsid w:val="00F93751"/>
    <w:rsid w:val="00F93856"/>
    <w:rsid w:val="00F954FC"/>
    <w:rsid w:val="00F95D0A"/>
    <w:rsid w:val="00F95D70"/>
    <w:rsid w:val="00F96520"/>
    <w:rsid w:val="00F970BD"/>
    <w:rsid w:val="00F97591"/>
    <w:rsid w:val="00F976BB"/>
    <w:rsid w:val="00FA23F2"/>
    <w:rsid w:val="00FA265A"/>
    <w:rsid w:val="00FA271C"/>
    <w:rsid w:val="00FA28A0"/>
    <w:rsid w:val="00FA3DAA"/>
    <w:rsid w:val="00FA4164"/>
    <w:rsid w:val="00FA49B9"/>
    <w:rsid w:val="00FA5791"/>
    <w:rsid w:val="00FA57A6"/>
    <w:rsid w:val="00FA598B"/>
    <w:rsid w:val="00FA79D4"/>
    <w:rsid w:val="00FA7D9A"/>
    <w:rsid w:val="00FB0523"/>
    <w:rsid w:val="00FB0C8A"/>
    <w:rsid w:val="00FB16B4"/>
    <w:rsid w:val="00FB225A"/>
    <w:rsid w:val="00FB30BF"/>
    <w:rsid w:val="00FB4C75"/>
    <w:rsid w:val="00FB5385"/>
    <w:rsid w:val="00FB5518"/>
    <w:rsid w:val="00FC0CD2"/>
    <w:rsid w:val="00FC2959"/>
    <w:rsid w:val="00FC2FBE"/>
    <w:rsid w:val="00FC3636"/>
    <w:rsid w:val="00FC381B"/>
    <w:rsid w:val="00FC42E0"/>
    <w:rsid w:val="00FC5DF7"/>
    <w:rsid w:val="00FC6218"/>
    <w:rsid w:val="00FC6C70"/>
    <w:rsid w:val="00FC7ED6"/>
    <w:rsid w:val="00FC7FD0"/>
    <w:rsid w:val="00FD0251"/>
    <w:rsid w:val="00FD330A"/>
    <w:rsid w:val="00FD3FD4"/>
    <w:rsid w:val="00FD4ECE"/>
    <w:rsid w:val="00FD72A0"/>
    <w:rsid w:val="00FE1123"/>
    <w:rsid w:val="00FE1660"/>
    <w:rsid w:val="00FE2769"/>
    <w:rsid w:val="00FE2E99"/>
    <w:rsid w:val="00FE3B34"/>
    <w:rsid w:val="00FE3FAA"/>
    <w:rsid w:val="00FE416B"/>
    <w:rsid w:val="00FE54B2"/>
    <w:rsid w:val="00FE6835"/>
    <w:rsid w:val="00FE72C1"/>
    <w:rsid w:val="00FF0E64"/>
    <w:rsid w:val="00FF32C3"/>
    <w:rsid w:val="00FF330D"/>
    <w:rsid w:val="00FF35FE"/>
    <w:rsid w:val="00FF50B8"/>
    <w:rsid w:val="00FF6B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7f4e1,#e2d58d,#f5f1d7,#e1dcae,#f1eed4,#ebe2af,#f2edce,#ede6b9"/>
    </o:shapedefaults>
    <o:shapelayout v:ext="edit">
      <o:idmap v:ext="edit" data="1"/>
    </o:shapelayout>
  </w:shapeDefaults>
  <w:decimalSymbol w:val="."/>
  <w:listSeparator w:val=","/>
  <w14:docId w14:val="1EBAEAD2"/>
  <w15:docId w15:val="{8AE146FB-758D-4528-95AB-BAD1A88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06CD"/>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qFormat/>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Normal Arial,AFW Memo Body,AFW Mins,NuGen Body Numbered,AMEC Body,Body (IACC),NG Body Numbered,Body (34391),Infin Body Numbered,Vat Body Numbered,WD Memo,WD Mins"/>
    <w:link w:val="BodyChar"/>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EF66D2"/>
    <w:pPr>
      <w:tabs>
        <w:tab w:val="left" w:pos="1760"/>
        <w:tab w:val="right" w:pos="9639"/>
      </w:tabs>
      <w:spacing w:before="24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customStyle="1" w:styleId="TableGridLight1">
    <w:name w:val="Table Grid Light1"/>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unhideWhenUsed/>
    <w:rsid w:val="00F106CD"/>
    <w:rPr>
      <w:rFonts w:ascii="Segoe UI" w:hAnsi="Segoe UI"/>
      <w:sz w:val="18"/>
      <w:szCs w:val="20"/>
    </w:rPr>
  </w:style>
  <w:style w:type="character" w:customStyle="1" w:styleId="FootnoteTextChar">
    <w:name w:val="Footnote Text Char"/>
    <w:basedOn w:val="DefaultParagraphFont"/>
    <w:link w:val="FootnoteText"/>
    <w:uiPriority w:val="99"/>
    <w:rsid w:val="00F106CD"/>
    <w:rPr>
      <w:rFonts w:ascii="Segoe UI" w:hAnsi="Segoe UI"/>
      <w:sz w:val="18"/>
      <w:szCs w:val="20"/>
    </w:rPr>
  </w:style>
  <w:style w:type="character" w:styleId="FootnoteReference">
    <w:name w:val="footnote reference"/>
    <w:basedOn w:val="DefaultParagraphFont"/>
    <w:uiPriority w:val="99"/>
    <w:semiHidden/>
    <w:unhideWhenUsed/>
    <w:rsid w:val="00F106CD"/>
    <w:rPr>
      <w:vertAlign w:val="superscript"/>
    </w:rPr>
  </w:style>
  <w:style w:type="paragraph" w:styleId="BodyText">
    <w:name w:val="Body Text"/>
    <w:basedOn w:val="Normal"/>
    <w:link w:val="BodyTextChar"/>
    <w:uiPriority w:val="1"/>
    <w:unhideWhenUsed/>
    <w:qFormat/>
    <w:rsid w:val="00825836"/>
    <w:pPr>
      <w:spacing w:after="200" w:line="26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825836"/>
    <w:rPr>
      <w:rFonts w:ascii="Arial" w:eastAsia="Times New Roman" w:hAnsi="Arial" w:cs="Times New Roman"/>
    </w:rPr>
  </w:style>
  <w:style w:type="table" w:customStyle="1" w:styleId="GridTable4-Accent11">
    <w:name w:val="Grid Table 4 - Accent 11"/>
    <w:basedOn w:val="TableNormal"/>
    <w:next w:val="GridTable4-Accent12"/>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
    <w:name w:val="Grid Table 4 - Accent 12"/>
    <w:basedOn w:val="TableNormal"/>
    <w:uiPriority w:val="49"/>
    <w:rsid w:val="00825836"/>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numbering" w:customStyle="1" w:styleId="NoList1">
    <w:name w:val="No List1"/>
    <w:next w:val="NoList"/>
    <w:uiPriority w:val="99"/>
    <w:semiHidden/>
    <w:unhideWhenUsed/>
    <w:rsid w:val="00825836"/>
  </w:style>
  <w:style w:type="paragraph" w:customStyle="1" w:styleId="Title1">
    <w:name w:val="Title1"/>
    <w:basedOn w:val="Normal"/>
    <w:next w:val="Normal"/>
    <w:uiPriority w:val="10"/>
    <w:qFormat/>
    <w:rsid w:val="00825836"/>
    <w:pPr>
      <w:contextualSpacing/>
    </w:pPr>
    <w:rPr>
      <w:rFonts w:ascii="Segoe UI" w:eastAsia="Times New Roman" w:hAnsi="Segoe UI" w:cs="Times New Roman"/>
      <w:color w:val="65396C"/>
      <w:spacing w:val="-10"/>
      <w:kern w:val="28"/>
      <w:sz w:val="56"/>
      <w:szCs w:val="56"/>
      <w:lang w:val="en-US"/>
    </w:rPr>
  </w:style>
  <w:style w:type="character" w:customStyle="1" w:styleId="TitleChar">
    <w:name w:val="Title Char"/>
    <w:basedOn w:val="DefaultParagraphFont"/>
    <w:link w:val="Title"/>
    <w:uiPriority w:val="10"/>
    <w:rsid w:val="00825836"/>
    <w:rPr>
      <w:rFonts w:ascii="Segoe UI" w:eastAsia="Times New Roman" w:hAnsi="Segoe UI" w:cs="Times New Roman"/>
      <w:color w:val="65396C"/>
      <w:spacing w:val="-10"/>
      <w:kern w:val="28"/>
      <w:sz w:val="56"/>
      <w:szCs w:val="56"/>
    </w:rPr>
  </w:style>
  <w:style w:type="table" w:customStyle="1" w:styleId="TableGrid1">
    <w:name w:val="Table Grid1"/>
    <w:basedOn w:val="TableNormal"/>
    <w:next w:val="TableGrid"/>
    <w:uiPriority w:val="59"/>
    <w:rsid w:val="00825836"/>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25836"/>
  </w:style>
  <w:style w:type="paragraph" w:styleId="TOCHeading">
    <w:name w:val="TOC Heading"/>
    <w:basedOn w:val="Heading1"/>
    <w:next w:val="Normal"/>
    <w:uiPriority w:val="39"/>
    <w:unhideWhenUsed/>
    <w:qFormat/>
    <w:rsid w:val="00825836"/>
    <w:pPr>
      <w:numPr>
        <w:numId w:val="0"/>
      </w:numPr>
      <w:spacing w:before="360" w:after="120" w:line="259" w:lineRule="auto"/>
      <w:outlineLvl w:val="9"/>
    </w:pPr>
    <w:rPr>
      <w:b w:val="0"/>
      <w:bCs w:val="0"/>
      <w:caps/>
      <w:smallCaps/>
      <w:color w:val="65396C"/>
      <w:sz w:val="32"/>
      <w:szCs w:val="32"/>
      <w:lang w:val="en-US"/>
    </w:rPr>
  </w:style>
  <w:style w:type="paragraph" w:styleId="TOC4">
    <w:name w:val="toc 4"/>
    <w:basedOn w:val="Normal"/>
    <w:next w:val="Normal"/>
    <w:autoRedefine/>
    <w:uiPriority w:val="39"/>
    <w:unhideWhenUsed/>
    <w:rsid w:val="00825836"/>
    <w:pPr>
      <w:spacing w:line="259" w:lineRule="auto"/>
      <w:ind w:left="660"/>
    </w:pPr>
    <w:rPr>
      <w:rFonts w:ascii="Segoe UI" w:hAnsi="Segoe UI"/>
      <w:sz w:val="18"/>
      <w:szCs w:val="18"/>
      <w:lang w:val="en-US"/>
    </w:rPr>
  </w:style>
  <w:style w:type="paragraph" w:styleId="TOC5">
    <w:name w:val="toc 5"/>
    <w:basedOn w:val="Normal"/>
    <w:next w:val="Normal"/>
    <w:autoRedefine/>
    <w:uiPriority w:val="39"/>
    <w:unhideWhenUsed/>
    <w:rsid w:val="00825836"/>
    <w:pPr>
      <w:spacing w:line="259" w:lineRule="auto"/>
      <w:ind w:left="880"/>
    </w:pPr>
    <w:rPr>
      <w:rFonts w:ascii="Segoe UI" w:hAnsi="Segoe UI"/>
      <w:sz w:val="18"/>
      <w:szCs w:val="18"/>
      <w:lang w:val="en-US"/>
    </w:rPr>
  </w:style>
  <w:style w:type="paragraph" w:styleId="TOC6">
    <w:name w:val="toc 6"/>
    <w:basedOn w:val="Normal"/>
    <w:next w:val="Normal"/>
    <w:autoRedefine/>
    <w:uiPriority w:val="39"/>
    <w:unhideWhenUsed/>
    <w:rsid w:val="00825836"/>
    <w:pPr>
      <w:spacing w:line="259" w:lineRule="auto"/>
      <w:ind w:left="1100"/>
    </w:pPr>
    <w:rPr>
      <w:rFonts w:ascii="Segoe UI" w:hAnsi="Segoe UI"/>
      <w:sz w:val="18"/>
      <w:szCs w:val="18"/>
      <w:lang w:val="en-US"/>
    </w:rPr>
  </w:style>
  <w:style w:type="paragraph" w:styleId="TOC7">
    <w:name w:val="toc 7"/>
    <w:basedOn w:val="Normal"/>
    <w:next w:val="Normal"/>
    <w:autoRedefine/>
    <w:uiPriority w:val="39"/>
    <w:unhideWhenUsed/>
    <w:rsid w:val="00825836"/>
    <w:pPr>
      <w:spacing w:line="259" w:lineRule="auto"/>
      <w:ind w:left="1320"/>
    </w:pPr>
    <w:rPr>
      <w:rFonts w:ascii="Segoe UI" w:hAnsi="Segoe UI"/>
      <w:sz w:val="18"/>
      <w:szCs w:val="18"/>
      <w:lang w:val="en-US"/>
    </w:rPr>
  </w:style>
  <w:style w:type="paragraph" w:styleId="TOC8">
    <w:name w:val="toc 8"/>
    <w:basedOn w:val="Normal"/>
    <w:next w:val="Normal"/>
    <w:autoRedefine/>
    <w:uiPriority w:val="39"/>
    <w:unhideWhenUsed/>
    <w:rsid w:val="00825836"/>
    <w:pPr>
      <w:spacing w:line="259" w:lineRule="auto"/>
      <w:ind w:left="1540"/>
    </w:pPr>
    <w:rPr>
      <w:rFonts w:ascii="Segoe UI" w:hAnsi="Segoe UI"/>
      <w:sz w:val="18"/>
      <w:szCs w:val="18"/>
      <w:lang w:val="en-US"/>
    </w:rPr>
  </w:style>
  <w:style w:type="paragraph" w:styleId="TOC9">
    <w:name w:val="toc 9"/>
    <w:basedOn w:val="Normal"/>
    <w:next w:val="Normal"/>
    <w:autoRedefine/>
    <w:uiPriority w:val="39"/>
    <w:unhideWhenUsed/>
    <w:rsid w:val="00825836"/>
    <w:pPr>
      <w:spacing w:line="259" w:lineRule="auto"/>
      <w:ind w:left="1760"/>
    </w:pPr>
    <w:rPr>
      <w:rFonts w:ascii="Segoe UI" w:hAnsi="Segoe UI"/>
      <w:sz w:val="18"/>
      <w:szCs w:val="18"/>
      <w:lang w:val="en-US"/>
    </w:rPr>
  </w:style>
  <w:style w:type="paragraph" w:customStyle="1" w:styleId="Caption1">
    <w:name w:val="Caption1"/>
    <w:basedOn w:val="Normal"/>
    <w:next w:val="Normal"/>
    <w:uiPriority w:val="35"/>
    <w:unhideWhenUsed/>
    <w:qFormat/>
    <w:rsid w:val="00825836"/>
    <w:pPr>
      <w:spacing w:after="200"/>
    </w:pPr>
    <w:rPr>
      <w:rFonts w:ascii="Segoe UI" w:hAnsi="Segoe UI"/>
      <w:i/>
      <w:iCs/>
      <w:color w:val="233845"/>
      <w:sz w:val="18"/>
      <w:szCs w:val="18"/>
      <w:lang w:val="en-US"/>
    </w:rPr>
  </w:style>
  <w:style w:type="table" w:customStyle="1" w:styleId="PlainTable11">
    <w:name w:val="Plain Table 11"/>
    <w:basedOn w:val="TableNormal"/>
    <w:next w:val="PlainTable12"/>
    <w:uiPriority w:val="41"/>
    <w:rsid w:val="00825836"/>
    <w:rPr>
      <w:rFonts w:ascii="Segoe UI" w:hAnsi="Segoe U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25836"/>
    <w:rPr>
      <w:sz w:val="16"/>
      <w:szCs w:val="16"/>
    </w:rPr>
  </w:style>
  <w:style w:type="paragraph" w:styleId="CommentText">
    <w:name w:val="annotation text"/>
    <w:basedOn w:val="Normal"/>
    <w:link w:val="CommentTextChar"/>
    <w:uiPriority w:val="99"/>
    <w:semiHidden/>
    <w:unhideWhenUsed/>
    <w:rsid w:val="00825836"/>
    <w:pPr>
      <w:spacing w:after="160"/>
    </w:pPr>
    <w:rPr>
      <w:rFonts w:ascii="Segoe UI" w:hAnsi="Segoe UI"/>
      <w:sz w:val="20"/>
      <w:szCs w:val="20"/>
      <w:lang w:val="en-US"/>
    </w:rPr>
  </w:style>
  <w:style w:type="character" w:customStyle="1" w:styleId="CommentTextChar">
    <w:name w:val="Comment Text Char"/>
    <w:basedOn w:val="DefaultParagraphFont"/>
    <w:link w:val="CommentText"/>
    <w:uiPriority w:val="99"/>
    <w:semiHidden/>
    <w:rsid w:val="00825836"/>
    <w:rPr>
      <w:rFonts w:ascii="Segoe UI" w:hAnsi="Segoe UI"/>
      <w:sz w:val="20"/>
      <w:szCs w:val="20"/>
      <w:lang w:val="en-US"/>
    </w:rPr>
  </w:style>
  <w:style w:type="paragraph" w:styleId="CommentSubject">
    <w:name w:val="annotation subject"/>
    <w:basedOn w:val="CommentText"/>
    <w:next w:val="CommentText"/>
    <w:link w:val="CommentSubjectChar"/>
    <w:uiPriority w:val="99"/>
    <w:semiHidden/>
    <w:unhideWhenUsed/>
    <w:rsid w:val="00825836"/>
    <w:rPr>
      <w:b/>
      <w:bCs/>
    </w:rPr>
  </w:style>
  <w:style w:type="character" w:customStyle="1" w:styleId="CommentSubjectChar">
    <w:name w:val="Comment Subject Char"/>
    <w:basedOn w:val="CommentTextChar"/>
    <w:link w:val="CommentSubject"/>
    <w:uiPriority w:val="99"/>
    <w:semiHidden/>
    <w:rsid w:val="00825836"/>
    <w:rPr>
      <w:rFonts w:ascii="Segoe UI" w:hAnsi="Segoe UI"/>
      <w:b/>
      <w:bCs/>
      <w:sz w:val="20"/>
      <w:szCs w:val="20"/>
      <w:lang w:val="en-US"/>
    </w:rPr>
  </w:style>
  <w:style w:type="character" w:customStyle="1" w:styleId="UnresolvedMention1">
    <w:name w:val="Unresolved Mention1"/>
    <w:basedOn w:val="DefaultParagraphFont"/>
    <w:uiPriority w:val="99"/>
    <w:semiHidden/>
    <w:unhideWhenUsed/>
    <w:rsid w:val="00825836"/>
    <w:rPr>
      <w:color w:val="605E5C"/>
      <w:shd w:val="clear" w:color="auto" w:fill="E1DFDD"/>
    </w:rPr>
  </w:style>
  <w:style w:type="paragraph" w:customStyle="1" w:styleId="Default">
    <w:name w:val="Default"/>
    <w:rsid w:val="00825836"/>
    <w:pPr>
      <w:autoSpaceDE w:val="0"/>
      <w:autoSpaceDN w:val="0"/>
      <w:adjustRightInd w:val="0"/>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825836"/>
    <w:pPr>
      <w:spacing w:after="160" w:line="259" w:lineRule="auto"/>
    </w:pPr>
    <w:rPr>
      <w:rFonts w:ascii="Segoe UI" w:hAnsi="Segoe UI"/>
      <w:lang w:val="en-US"/>
    </w:rPr>
  </w:style>
  <w:style w:type="table" w:customStyle="1" w:styleId="TableGrid11">
    <w:name w:val="Table Grid11"/>
    <w:basedOn w:val="TableNormal"/>
    <w:next w:val="TableGrid"/>
    <w:uiPriority w:val="39"/>
    <w:rsid w:val="008258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825836"/>
    <w:pPr>
      <w:keepLines/>
      <w:numPr>
        <w:numId w:val="7"/>
      </w:numPr>
      <w:ind w:left="357" w:hanging="357"/>
    </w:pPr>
    <w:rPr>
      <w:rFonts w:ascii="Calibri" w:eastAsia="Times New Roman" w:hAnsi="Calibri" w:cs="Calibri"/>
      <w:sz w:val="16"/>
      <w:szCs w:val="20"/>
    </w:rPr>
  </w:style>
  <w:style w:type="table" w:customStyle="1" w:styleId="GridTable31">
    <w:name w:val="Grid Table 31"/>
    <w:basedOn w:val="TableNormal"/>
    <w:next w:val="GridTable32"/>
    <w:uiPriority w:val="48"/>
    <w:rsid w:val="00825836"/>
    <w:rPr>
      <w:rFonts w:ascii="Segoe UI" w:hAnsi="Segoe UI"/>
      <w:lang w:val="en-US"/>
    </w:rPr>
    <w:tblPr>
      <w:tblStyleRowBandSize w:val="1"/>
      <w:tblStyleColBandSize w:val="1"/>
      <w:tblBorders>
        <w:top w:val="single" w:sz="4" w:space="0" w:color="5D8EAD"/>
        <w:left w:val="single" w:sz="4" w:space="0" w:color="5D8EAD"/>
        <w:bottom w:val="single" w:sz="4" w:space="0" w:color="5D8EAD"/>
        <w:right w:val="single" w:sz="4" w:space="0" w:color="5D8EAD"/>
        <w:insideH w:val="single" w:sz="4" w:space="0" w:color="5D8EAD"/>
        <w:insideV w:val="single" w:sz="4" w:space="0" w:color="5D8E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D9E3"/>
      </w:tcPr>
    </w:tblStylePr>
    <w:tblStylePr w:type="band1Horz">
      <w:tblPr/>
      <w:tcPr>
        <w:shd w:val="clear" w:color="auto" w:fill="C9D9E3"/>
      </w:tcPr>
    </w:tblStylePr>
    <w:tblStylePr w:type="neCell">
      <w:tblPr/>
      <w:tcPr>
        <w:tcBorders>
          <w:bottom w:val="single" w:sz="4" w:space="0" w:color="5D8EAD"/>
        </w:tcBorders>
      </w:tcPr>
    </w:tblStylePr>
    <w:tblStylePr w:type="nwCell">
      <w:tblPr/>
      <w:tcPr>
        <w:tcBorders>
          <w:bottom w:val="single" w:sz="4" w:space="0" w:color="5D8EAD"/>
        </w:tcBorders>
      </w:tcPr>
    </w:tblStylePr>
    <w:tblStylePr w:type="seCell">
      <w:tblPr/>
      <w:tcPr>
        <w:tcBorders>
          <w:top w:val="single" w:sz="4" w:space="0" w:color="5D8EAD"/>
        </w:tcBorders>
      </w:tcPr>
    </w:tblStylePr>
    <w:tblStylePr w:type="swCell">
      <w:tblPr/>
      <w:tcPr>
        <w:tcBorders>
          <w:top w:val="single" w:sz="4" w:space="0" w:color="5D8EAD"/>
        </w:tcBorders>
      </w:tcPr>
    </w:tblStylePr>
  </w:style>
  <w:style w:type="table" w:customStyle="1" w:styleId="ListTable3-Accent11">
    <w:name w:val="List Table 3 - Accent 11"/>
    <w:basedOn w:val="TableNormal"/>
    <w:next w:val="ListTable3-Accent12"/>
    <w:uiPriority w:val="48"/>
    <w:rsid w:val="00825836"/>
    <w:rPr>
      <w:rFonts w:ascii="Segoe UI" w:hAnsi="Segoe UI"/>
      <w:lang w:val="en-US"/>
    </w:rPr>
    <w:tblPr>
      <w:tblStyleRowBandSize w:val="1"/>
      <w:tblStyleColBandSize w:val="1"/>
      <w:tblBorders>
        <w:top w:val="single" w:sz="4" w:space="0" w:color="884C91"/>
        <w:left w:val="single" w:sz="4" w:space="0" w:color="884C91"/>
        <w:bottom w:val="single" w:sz="4" w:space="0" w:color="884C91"/>
        <w:right w:val="single" w:sz="4" w:space="0" w:color="884C91"/>
      </w:tblBorders>
    </w:tblPr>
    <w:tblStylePr w:type="firstRow">
      <w:rPr>
        <w:b/>
        <w:bCs/>
        <w:color w:val="FFFFFF"/>
      </w:rPr>
      <w:tblPr/>
      <w:tcPr>
        <w:shd w:val="clear" w:color="auto" w:fill="884C91"/>
      </w:tcPr>
    </w:tblStylePr>
    <w:tblStylePr w:type="lastRow">
      <w:rPr>
        <w:b/>
        <w:bCs/>
      </w:rPr>
      <w:tblPr/>
      <w:tcPr>
        <w:tcBorders>
          <w:top w:val="double" w:sz="4" w:space="0" w:color="884C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84C91"/>
          <w:right w:val="single" w:sz="4" w:space="0" w:color="884C91"/>
        </w:tcBorders>
      </w:tcPr>
    </w:tblStylePr>
    <w:tblStylePr w:type="band1Horz">
      <w:tblPr/>
      <w:tcPr>
        <w:tcBorders>
          <w:top w:val="single" w:sz="4" w:space="0" w:color="884C91"/>
          <w:bottom w:val="single" w:sz="4" w:space="0" w:color="884C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C91"/>
          <w:left w:val="nil"/>
        </w:tcBorders>
      </w:tcPr>
    </w:tblStylePr>
    <w:tblStylePr w:type="swCell">
      <w:tblPr/>
      <w:tcPr>
        <w:tcBorders>
          <w:top w:val="double" w:sz="4" w:space="0" w:color="884C91"/>
          <w:right w:val="nil"/>
        </w:tcBorders>
      </w:tcPr>
    </w:tblStylePr>
  </w:style>
  <w:style w:type="table" w:customStyle="1" w:styleId="ListTable2-Accent11">
    <w:name w:val="List Table 2 - Accent 11"/>
    <w:basedOn w:val="TableNormal"/>
    <w:next w:val="ListTable2-Accent12"/>
    <w:uiPriority w:val="47"/>
    <w:rsid w:val="00825836"/>
    <w:rPr>
      <w:rFonts w:ascii="Segoe UI" w:hAnsi="Segoe UI"/>
      <w:lang w:val="en-US"/>
    </w:rPr>
    <w:tblPr>
      <w:tblStyleRowBandSize w:val="1"/>
      <w:tblStyleColBandSize w:val="1"/>
      <w:tblBorders>
        <w:top w:val="single" w:sz="4" w:space="0" w:color="BC8DC3"/>
        <w:bottom w:val="single" w:sz="4" w:space="0" w:color="BC8DC3"/>
        <w:insideH w:val="single" w:sz="4" w:space="0" w:color="BC8D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0">
    <w:name w:val="Grid Table 4 - Accent 12"/>
    <w:basedOn w:val="TableNormal"/>
    <w:next w:val="GridTable4-Accent12"/>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21">
    <w:name w:val="Grid Table 4 - Accent 21"/>
    <w:basedOn w:val="TableNormal"/>
    <w:next w:val="GridTable4-Accent22"/>
    <w:uiPriority w:val="49"/>
    <w:rsid w:val="00825836"/>
    <w:rPr>
      <w:rFonts w:ascii="Segoe UI" w:hAnsi="Segoe UI"/>
      <w:lang w:val="en-US"/>
    </w:rPr>
    <w:tblPr>
      <w:tblStyleRowBandSize w:val="1"/>
      <w:tblStyleColBandSize w:val="1"/>
      <w:tblBorders>
        <w:top w:val="single" w:sz="4" w:space="0" w:color="79DFD9"/>
        <w:left w:val="single" w:sz="4" w:space="0" w:color="79DFD9"/>
        <w:bottom w:val="single" w:sz="4" w:space="0" w:color="79DFD9"/>
        <w:right w:val="single" w:sz="4" w:space="0" w:color="79DFD9"/>
        <w:insideH w:val="single" w:sz="4" w:space="0" w:color="79DFD9"/>
        <w:insideV w:val="single" w:sz="4" w:space="0" w:color="79DFD9"/>
      </w:tblBorders>
    </w:tblPr>
    <w:tblStylePr w:type="firstRow">
      <w:rPr>
        <w:b/>
        <w:bCs/>
        <w:color w:val="FFFFFF"/>
      </w:rPr>
      <w:tblPr/>
      <w:tcPr>
        <w:tcBorders>
          <w:top w:val="single" w:sz="4" w:space="0" w:color="2DBDB6"/>
          <w:left w:val="single" w:sz="4" w:space="0" w:color="2DBDB6"/>
          <w:bottom w:val="single" w:sz="4" w:space="0" w:color="2DBDB6"/>
          <w:right w:val="single" w:sz="4" w:space="0" w:color="2DBDB6"/>
          <w:insideH w:val="nil"/>
          <w:insideV w:val="nil"/>
        </w:tcBorders>
        <w:shd w:val="clear" w:color="auto" w:fill="2DBDB6"/>
      </w:tcPr>
    </w:tblStylePr>
    <w:tblStylePr w:type="lastRow">
      <w:rPr>
        <w:b/>
        <w:bCs/>
      </w:rPr>
      <w:tblPr/>
      <w:tcPr>
        <w:tcBorders>
          <w:top w:val="double" w:sz="4" w:space="0" w:color="2DBDB6"/>
        </w:tcBorders>
      </w:tcPr>
    </w:tblStylePr>
    <w:tblStylePr w:type="firstCol">
      <w:rPr>
        <w:b/>
        <w:bCs/>
      </w:rPr>
    </w:tblStylePr>
    <w:tblStylePr w:type="lastCol">
      <w:rPr>
        <w:b/>
        <w:bCs/>
      </w:rPr>
    </w:tblStylePr>
    <w:tblStylePr w:type="band1Vert">
      <w:tblPr/>
      <w:tcPr>
        <w:shd w:val="clear" w:color="auto" w:fill="D2F4F2"/>
      </w:tcPr>
    </w:tblStylePr>
    <w:tblStylePr w:type="band1Horz">
      <w:tblPr/>
      <w:tcPr>
        <w:shd w:val="clear" w:color="auto" w:fill="D2F4F2"/>
      </w:tcPr>
    </w:tblStylePr>
  </w:style>
  <w:style w:type="paragraph" w:styleId="NormalWeb">
    <w:name w:val="Normal (Web)"/>
    <w:basedOn w:val="Normal"/>
    <w:uiPriority w:val="99"/>
    <w:semiHidden/>
    <w:unhideWhenUsed/>
    <w:rsid w:val="00825836"/>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825836"/>
    <w:pPr>
      <w:contextualSpacing/>
    </w:pPr>
    <w:rPr>
      <w:rFonts w:ascii="Segoe UI" w:eastAsia="Times New Roman" w:hAnsi="Segoe UI" w:cs="Times New Roman"/>
      <w:color w:val="65396C"/>
      <w:spacing w:val="-10"/>
      <w:kern w:val="28"/>
      <w:sz w:val="56"/>
      <w:szCs w:val="56"/>
    </w:rPr>
  </w:style>
  <w:style w:type="character" w:customStyle="1" w:styleId="TitleChar1">
    <w:name w:val="Title Char1"/>
    <w:basedOn w:val="DefaultParagraphFont"/>
    <w:uiPriority w:val="10"/>
    <w:rsid w:val="00825836"/>
    <w:rPr>
      <w:rFonts w:asciiTheme="majorHAnsi" w:eastAsiaTheme="majorEastAsia" w:hAnsiTheme="majorHAnsi" w:cstheme="majorBidi"/>
      <w:spacing w:val="-10"/>
      <w:kern w:val="28"/>
      <w:sz w:val="56"/>
      <w:szCs w:val="56"/>
    </w:rPr>
  </w:style>
  <w:style w:type="table" w:customStyle="1" w:styleId="PlainTable12">
    <w:name w:val="Plain Table 12"/>
    <w:basedOn w:val="TableNormal"/>
    <w:uiPriority w:val="41"/>
    <w:rsid w:val="008258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2">
    <w:name w:val="Grid Table 32"/>
    <w:basedOn w:val="TableNormal"/>
    <w:uiPriority w:val="48"/>
    <w:rsid w:val="00825836"/>
    <w:tblPr>
      <w:tblStyleRowBandSize w:val="1"/>
      <w:tblStyleColBandSize w:val="1"/>
      <w:tblBorders>
        <w:top w:val="single" w:sz="4" w:space="0" w:color="807E92" w:themeColor="text1" w:themeTint="99"/>
        <w:left w:val="single" w:sz="4" w:space="0" w:color="807E92" w:themeColor="text1" w:themeTint="99"/>
        <w:bottom w:val="single" w:sz="4" w:space="0" w:color="807E92" w:themeColor="text1" w:themeTint="99"/>
        <w:right w:val="single" w:sz="4" w:space="0" w:color="807E92" w:themeColor="text1" w:themeTint="99"/>
        <w:insideH w:val="single" w:sz="4" w:space="0" w:color="807E92" w:themeColor="text1" w:themeTint="99"/>
        <w:insideV w:val="single" w:sz="4" w:space="0" w:color="807E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B" w:themeFill="text1" w:themeFillTint="33"/>
      </w:tcPr>
    </w:tblStylePr>
    <w:tblStylePr w:type="band1Horz">
      <w:tblPr/>
      <w:tcPr>
        <w:shd w:val="clear" w:color="auto" w:fill="D4D4DB" w:themeFill="text1" w:themeFillTint="33"/>
      </w:tcPr>
    </w:tblStylePr>
    <w:tblStylePr w:type="neCell">
      <w:tblPr/>
      <w:tcPr>
        <w:tcBorders>
          <w:bottom w:val="single" w:sz="4" w:space="0" w:color="807E92" w:themeColor="text1" w:themeTint="99"/>
        </w:tcBorders>
      </w:tcPr>
    </w:tblStylePr>
    <w:tblStylePr w:type="nwCell">
      <w:tblPr/>
      <w:tcPr>
        <w:tcBorders>
          <w:bottom w:val="single" w:sz="4" w:space="0" w:color="807E92" w:themeColor="text1" w:themeTint="99"/>
        </w:tcBorders>
      </w:tcPr>
    </w:tblStylePr>
    <w:tblStylePr w:type="seCell">
      <w:tblPr/>
      <w:tcPr>
        <w:tcBorders>
          <w:top w:val="single" w:sz="4" w:space="0" w:color="807E92" w:themeColor="text1" w:themeTint="99"/>
        </w:tcBorders>
      </w:tcPr>
    </w:tblStylePr>
    <w:tblStylePr w:type="swCell">
      <w:tblPr/>
      <w:tcPr>
        <w:tcBorders>
          <w:top w:val="single" w:sz="4" w:space="0" w:color="807E92" w:themeColor="text1" w:themeTint="99"/>
        </w:tcBorders>
      </w:tcPr>
    </w:tblStylePr>
  </w:style>
  <w:style w:type="table" w:customStyle="1" w:styleId="ListTable3-Accent12">
    <w:name w:val="List Table 3 - Accent 12"/>
    <w:basedOn w:val="TableNormal"/>
    <w:uiPriority w:val="48"/>
    <w:rsid w:val="00825836"/>
    <w:tblPr>
      <w:tblStyleRowBandSize w:val="1"/>
      <w:tblStyleColBandSize w:val="1"/>
      <w:tblBorders>
        <w:top w:val="single" w:sz="4" w:space="0" w:color="88C540" w:themeColor="accent1"/>
        <w:left w:val="single" w:sz="4" w:space="0" w:color="88C540" w:themeColor="accent1"/>
        <w:bottom w:val="single" w:sz="4" w:space="0" w:color="88C540" w:themeColor="accent1"/>
        <w:right w:val="single" w:sz="4" w:space="0" w:color="88C540" w:themeColor="accent1"/>
      </w:tblBorders>
    </w:tblPr>
    <w:tblStylePr w:type="firstRow">
      <w:rPr>
        <w:b/>
        <w:bCs/>
        <w:color w:val="FFFFFF" w:themeColor="background1"/>
      </w:rPr>
      <w:tblPr/>
      <w:tcPr>
        <w:shd w:val="clear" w:color="auto" w:fill="88C540" w:themeFill="accent1"/>
      </w:tcPr>
    </w:tblStylePr>
    <w:tblStylePr w:type="lastRow">
      <w:rPr>
        <w:b/>
        <w:bCs/>
      </w:rPr>
      <w:tblPr/>
      <w:tcPr>
        <w:tcBorders>
          <w:top w:val="double" w:sz="4" w:space="0" w:color="88C5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C540" w:themeColor="accent1"/>
          <w:right w:val="single" w:sz="4" w:space="0" w:color="88C540" w:themeColor="accent1"/>
        </w:tcBorders>
      </w:tcPr>
    </w:tblStylePr>
    <w:tblStylePr w:type="band1Horz">
      <w:tblPr/>
      <w:tcPr>
        <w:tcBorders>
          <w:top w:val="single" w:sz="4" w:space="0" w:color="88C540" w:themeColor="accent1"/>
          <w:bottom w:val="single" w:sz="4" w:space="0" w:color="88C5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C540" w:themeColor="accent1"/>
          <w:left w:val="nil"/>
        </w:tcBorders>
      </w:tcPr>
    </w:tblStylePr>
    <w:tblStylePr w:type="swCell">
      <w:tblPr/>
      <w:tcPr>
        <w:tcBorders>
          <w:top w:val="double" w:sz="4" w:space="0" w:color="88C540" w:themeColor="accent1"/>
          <w:right w:val="nil"/>
        </w:tcBorders>
      </w:tcPr>
    </w:tblStylePr>
  </w:style>
  <w:style w:type="table" w:customStyle="1" w:styleId="ListTable2-Accent12">
    <w:name w:val="List Table 2 - Accent 12"/>
    <w:basedOn w:val="TableNormal"/>
    <w:uiPriority w:val="47"/>
    <w:rsid w:val="00825836"/>
    <w:tblPr>
      <w:tblStyleRowBandSize w:val="1"/>
      <w:tblStyleColBandSize w:val="1"/>
      <w:tblBorders>
        <w:top w:val="single" w:sz="4" w:space="0" w:color="B7DC8C" w:themeColor="accent1" w:themeTint="99"/>
        <w:bottom w:val="single" w:sz="4" w:space="0" w:color="B7DC8C" w:themeColor="accent1" w:themeTint="99"/>
        <w:insideH w:val="single" w:sz="4" w:space="0" w:color="B7DC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customStyle="1" w:styleId="GridTable4-Accent22">
    <w:name w:val="Grid Table 4 - Accent 22"/>
    <w:basedOn w:val="TableNormal"/>
    <w:uiPriority w:val="49"/>
    <w:rsid w:val="00825836"/>
    <w:tblPr>
      <w:tblStyleRowBandSize w:val="1"/>
      <w:tblStyleColBandSize w:val="1"/>
      <w:tblBorders>
        <w:top w:val="single" w:sz="4" w:space="0" w:color="79DFD9" w:themeColor="accent2" w:themeTint="99"/>
        <w:left w:val="single" w:sz="4" w:space="0" w:color="79DFD9" w:themeColor="accent2" w:themeTint="99"/>
        <w:bottom w:val="single" w:sz="4" w:space="0" w:color="79DFD9" w:themeColor="accent2" w:themeTint="99"/>
        <w:right w:val="single" w:sz="4" w:space="0" w:color="79DFD9" w:themeColor="accent2" w:themeTint="99"/>
        <w:insideH w:val="single" w:sz="4" w:space="0" w:color="79DFD9" w:themeColor="accent2" w:themeTint="99"/>
        <w:insideV w:val="single" w:sz="4" w:space="0" w:color="79DFD9" w:themeColor="accent2" w:themeTint="99"/>
      </w:tblBorders>
    </w:tblPr>
    <w:tblStylePr w:type="firstRow">
      <w:rPr>
        <w:b/>
        <w:bCs/>
        <w:color w:val="FFFFFF" w:themeColor="background1"/>
      </w:rPr>
      <w:tblPr/>
      <w:tcPr>
        <w:tcBorders>
          <w:top w:val="single" w:sz="4" w:space="0" w:color="2DBDB6" w:themeColor="accent2"/>
          <w:left w:val="single" w:sz="4" w:space="0" w:color="2DBDB6" w:themeColor="accent2"/>
          <w:bottom w:val="single" w:sz="4" w:space="0" w:color="2DBDB6" w:themeColor="accent2"/>
          <w:right w:val="single" w:sz="4" w:space="0" w:color="2DBDB6" w:themeColor="accent2"/>
          <w:insideH w:val="nil"/>
          <w:insideV w:val="nil"/>
        </w:tcBorders>
        <w:shd w:val="clear" w:color="auto" w:fill="2DBDB6" w:themeFill="accent2"/>
      </w:tcPr>
    </w:tblStylePr>
    <w:tblStylePr w:type="lastRow">
      <w:rPr>
        <w:b/>
        <w:bCs/>
      </w:rPr>
      <w:tblPr/>
      <w:tcPr>
        <w:tcBorders>
          <w:top w:val="double" w:sz="4" w:space="0" w:color="2DBDB6" w:themeColor="accent2"/>
        </w:tcBorders>
      </w:tcPr>
    </w:tblStylePr>
    <w:tblStylePr w:type="firstCol">
      <w:rPr>
        <w:b/>
        <w:bCs/>
      </w:rPr>
    </w:tblStylePr>
    <w:tblStylePr w:type="lastCol">
      <w:rPr>
        <w:b/>
        <w:bCs/>
      </w:rPr>
    </w:tblStylePr>
    <w:tblStylePr w:type="band1Vert">
      <w:tblPr/>
      <w:tcPr>
        <w:shd w:val="clear" w:color="auto" w:fill="D2F4F2" w:themeFill="accent2" w:themeFillTint="33"/>
      </w:tcPr>
    </w:tblStylePr>
    <w:tblStylePr w:type="band1Horz">
      <w:tblPr/>
      <w:tcPr>
        <w:shd w:val="clear" w:color="auto" w:fill="D2F4F2" w:themeFill="accent2" w:themeFillTint="33"/>
      </w:tcPr>
    </w:tblStylePr>
  </w:style>
  <w:style w:type="paragraph" w:styleId="Caption">
    <w:name w:val="caption"/>
    <w:basedOn w:val="Normal"/>
    <w:next w:val="Normal"/>
    <w:uiPriority w:val="35"/>
    <w:unhideWhenUsed/>
    <w:qFormat/>
    <w:rsid w:val="005C0825"/>
    <w:pPr>
      <w:spacing w:after="200"/>
    </w:pPr>
    <w:rPr>
      <w:rFonts w:ascii="Segoe UI" w:hAnsi="Segoe UI"/>
      <w:iCs/>
      <w:color w:val="884C91" w:themeColor="text2"/>
      <w:sz w:val="20"/>
      <w:szCs w:val="18"/>
    </w:rPr>
  </w:style>
  <w:style w:type="character" w:customStyle="1" w:styleId="UnresolvedMention2">
    <w:name w:val="Unresolved Mention2"/>
    <w:basedOn w:val="DefaultParagraphFont"/>
    <w:uiPriority w:val="99"/>
    <w:unhideWhenUsed/>
    <w:rsid w:val="005C0825"/>
    <w:rPr>
      <w:color w:val="605E5C"/>
      <w:shd w:val="clear" w:color="auto" w:fill="E1DFDD"/>
    </w:rPr>
  </w:style>
  <w:style w:type="character" w:customStyle="1" w:styleId="Mention1">
    <w:name w:val="Mention1"/>
    <w:basedOn w:val="DefaultParagraphFont"/>
    <w:uiPriority w:val="99"/>
    <w:unhideWhenUsed/>
    <w:rsid w:val="003B5135"/>
    <w:rPr>
      <w:color w:val="2B579A"/>
      <w:shd w:val="clear" w:color="auto" w:fill="E1DFDD"/>
    </w:rPr>
  </w:style>
  <w:style w:type="character" w:customStyle="1" w:styleId="BodyChar">
    <w:name w:val="Body Char"/>
    <w:aliases w:val="AFW Body Char,Normal Arial Char,NuGen Body Numbered Char,AFW Mins Char"/>
    <w:basedOn w:val="DefaultParagraphFont"/>
    <w:link w:val="WDBody"/>
    <w:locked/>
    <w:rsid w:val="00F81599"/>
    <w:rPr>
      <w:rFonts w:ascii="Segoe UI" w:hAnsi="Segoe UI"/>
      <w:color w:val="000000"/>
      <w:sz w:val="20"/>
    </w:rPr>
  </w:style>
  <w:style w:type="paragraph" w:customStyle="1" w:styleId="TableBodyLeft">
    <w:name w:val="Table Body Left"/>
    <w:basedOn w:val="Normal"/>
    <w:link w:val="TableBodyLeftChar"/>
    <w:rsid w:val="00177039"/>
    <w:pPr>
      <w:spacing w:line="240" w:lineRule="atLeast"/>
    </w:pPr>
    <w:rPr>
      <w:rFonts w:ascii="Arial" w:eastAsia="Times New Roman" w:hAnsi="Arial" w:cs="Times New Roman"/>
      <w:sz w:val="18"/>
      <w:szCs w:val="20"/>
      <w:lang w:eastAsia="zh-CN"/>
    </w:rPr>
  </w:style>
  <w:style w:type="character" w:customStyle="1" w:styleId="TableBodyLeftChar">
    <w:name w:val="Table Body Left Char"/>
    <w:basedOn w:val="DefaultParagraphFont"/>
    <w:link w:val="TableBodyLeft"/>
    <w:rsid w:val="00177039"/>
    <w:rPr>
      <w:rFonts w:ascii="Arial" w:eastAsia="Times New Roman" w:hAnsi="Arial" w:cs="Times New Roman"/>
      <w:sz w:val="18"/>
      <w:szCs w:val="20"/>
      <w:lang w:eastAsia="zh-CN"/>
    </w:rPr>
  </w:style>
  <w:style w:type="character" w:customStyle="1" w:styleId="hvr">
    <w:name w:val="hvr"/>
    <w:basedOn w:val="DefaultParagraphFont"/>
    <w:rsid w:val="00CE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735">
      <w:bodyDiv w:val="1"/>
      <w:marLeft w:val="0"/>
      <w:marRight w:val="0"/>
      <w:marTop w:val="0"/>
      <w:marBottom w:val="0"/>
      <w:divBdr>
        <w:top w:val="none" w:sz="0" w:space="0" w:color="auto"/>
        <w:left w:val="none" w:sz="0" w:space="0" w:color="auto"/>
        <w:bottom w:val="none" w:sz="0" w:space="0" w:color="auto"/>
        <w:right w:val="none" w:sz="0" w:space="0" w:color="auto"/>
      </w:divBdr>
    </w:div>
    <w:div w:id="138429015">
      <w:bodyDiv w:val="1"/>
      <w:marLeft w:val="0"/>
      <w:marRight w:val="0"/>
      <w:marTop w:val="0"/>
      <w:marBottom w:val="0"/>
      <w:divBdr>
        <w:top w:val="none" w:sz="0" w:space="0" w:color="auto"/>
        <w:left w:val="none" w:sz="0" w:space="0" w:color="auto"/>
        <w:bottom w:val="none" w:sz="0" w:space="0" w:color="auto"/>
        <w:right w:val="none" w:sz="0" w:space="0" w:color="auto"/>
      </w:divBdr>
    </w:div>
    <w:div w:id="212546450">
      <w:bodyDiv w:val="1"/>
      <w:marLeft w:val="0"/>
      <w:marRight w:val="0"/>
      <w:marTop w:val="0"/>
      <w:marBottom w:val="0"/>
      <w:divBdr>
        <w:top w:val="none" w:sz="0" w:space="0" w:color="auto"/>
        <w:left w:val="none" w:sz="0" w:space="0" w:color="auto"/>
        <w:bottom w:val="none" w:sz="0" w:space="0" w:color="auto"/>
        <w:right w:val="none" w:sz="0" w:space="0" w:color="auto"/>
      </w:divBdr>
    </w:div>
    <w:div w:id="337392435">
      <w:bodyDiv w:val="1"/>
      <w:marLeft w:val="0"/>
      <w:marRight w:val="0"/>
      <w:marTop w:val="0"/>
      <w:marBottom w:val="0"/>
      <w:divBdr>
        <w:top w:val="none" w:sz="0" w:space="0" w:color="auto"/>
        <w:left w:val="none" w:sz="0" w:space="0" w:color="auto"/>
        <w:bottom w:val="none" w:sz="0" w:space="0" w:color="auto"/>
        <w:right w:val="none" w:sz="0" w:space="0" w:color="auto"/>
      </w:divBdr>
    </w:div>
    <w:div w:id="957374340">
      <w:bodyDiv w:val="1"/>
      <w:marLeft w:val="0"/>
      <w:marRight w:val="0"/>
      <w:marTop w:val="0"/>
      <w:marBottom w:val="0"/>
      <w:divBdr>
        <w:top w:val="none" w:sz="0" w:space="0" w:color="auto"/>
        <w:left w:val="none" w:sz="0" w:space="0" w:color="auto"/>
        <w:bottom w:val="none" w:sz="0" w:space="0" w:color="auto"/>
        <w:right w:val="none" w:sz="0" w:space="0" w:color="auto"/>
      </w:divBdr>
    </w:div>
    <w:div w:id="961572568">
      <w:bodyDiv w:val="1"/>
      <w:marLeft w:val="0"/>
      <w:marRight w:val="0"/>
      <w:marTop w:val="0"/>
      <w:marBottom w:val="0"/>
      <w:divBdr>
        <w:top w:val="none" w:sz="0" w:space="0" w:color="auto"/>
        <w:left w:val="none" w:sz="0" w:space="0" w:color="auto"/>
        <w:bottom w:val="none" w:sz="0" w:space="0" w:color="auto"/>
        <w:right w:val="none" w:sz="0" w:space="0" w:color="auto"/>
      </w:divBdr>
    </w:div>
    <w:div w:id="1056709151">
      <w:bodyDiv w:val="1"/>
      <w:marLeft w:val="0"/>
      <w:marRight w:val="0"/>
      <w:marTop w:val="0"/>
      <w:marBottom w:val="0"/>
      <w:divBdr>
        <w:top w:val="none" w:sz="0" w:space="0" w:color="auto"/>
        <w:left w:val="none" w:sz="0" w:space="0" w:color="auto"/>
        <w:bottom w:val="none" w:sz="0" w:space="0" w:color="auto"/>
        <w:right w:val="none" w:sz="0" w:space="0" w:color="auto"/>
      </w:divBdr>
    </w:div>
    <w:div w:id="1111433882">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528518501">
      <w:bodyDiv w:val="1"/>
      <w:marLeft w:val="0"/>
      <w:marRight w:val="0"/>
      <w:marTop w:val="0"/>
      <w:marBottom w:val="0"/>
      <w:divBdr>
        <w:top w:val="none" w:sz="0" w:space="0" w:color="auto"/>
        <w:left w:val="none" w:sz="0" w:space="0" w:color="auto"/>
        <w:bottom w:val="none" w:sz="0" w:space="0" w:color="auto"/>
        <w:right w:val="none" w:sz="0" w:space="0" w:color="auto"/>
      </w:divBdr>
    </w:div>
    <w:div w:id="1687755196">
      <w:bodyDiv w:val="1"/>
      <w:marLeft w:val="0"/>
      <w:marRight w:val="0"/>
      <w:marTop w:val="0"/>
      <w:marBottom w:val="0"/>
      <w:divBdr>
        <w:top w:val="none" w:sz="0" w:space="0" w:color="auto"/>
        <w:left w:val="none" w:sz="0" w:space="0" w:color="auto"/>
        <w:bottom w:val="none" w:sz="0" w:space="0" w:color="auto"/>
        <w:right w:val="none" w:sz="0" w:space="0" w:color="auto"/>
      </w:divBdr>
    </w:div>
    <w:div w:id="170212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o-spain.com/2017/11/18/neom-primera-ciudad-futurista-nuevo-orden-mundial-euroasiatico/saudi-arabia-neom/" TargetMode="External"/><Relationship Id="rId18" Type="http://schemas.openxmlformats.org/officeDocument/2006/relationships/hyperlink" Target="https://en.wikipedia.org/wiki/Abundance_(ecolog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n.wikipedia.org/wiki/Remotely_operated_underwater_vehicle" TargetMode="Externa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en.wikipedia.org/wiki/Fish_diversit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n.wikipedia.org/wiki/Submersib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Abundance_(ecolog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n.wikipedia.org/wiki/Pred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Eth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n.wikipedia.org/wiki/Scavenger" TargetMode="Externa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1A4111-70BB-46F3-9C3A-60A3551959C6}"/>
</file>

<file path=customXml/itemProps2.xml><?xml version="1.0" encoding="utf-8"?>
<ds:datastoreItem xmlns:ds="http://schemas.openxmlformats.org/officeDocument/2006/customXml" ds:itemID="{E18549EF-C299-4F9C-86D6-8C6A500773AD}">
  <ds:schemaRefs>
    <ds:schemaRef ds:uri="http://schemas.microsoft.com/sharepoint/v3/contenttype/forms"/>
  </ds:schemaRefs>
</ds:datastoreItem>
</file>

<file path=customXml/itemProps3.xml><?xml version="1.0" encoding="utf-8"?>
<ds:datastoreItem xmlns:ds="http://schemas.openxmlformats.org/officeDocument/2006/customXml" ds:itemID="{973ED75A-38B7-447B-984A-51E4FCA32EEF}">
  <ds:schemaRefs>
    <ds:schemaRef ds:uri="http://schemas.openxmlformats.org/officeDocument/2006/bibliography"/>
  </ds:schemaRefs>
</ds:datastoreItem>
</file>

<file path=customXml/itemProps4.xml><?xml version="1.0" encoding="utf-8"?>
<ds:datastoreItem xmlns:ds="http://schemas.openxmlformats.org/officeDocument/2006/customXml" ds:itemID="{0F36D7B4-4343-4794-953B-C1BEC1286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5081</Words>
  <Characters>28964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33978</CharactersWithSpaces>
  <SharedDoc>false</SharedDoc>
  <HLinks>
    <vt:vector size="132" baseType="variant">
      <vt:variant>
        <vt:i4>1572927</vt:i4>
      </vt:variant>
      <vt:variant>
        <vt:i4>125</vt:i4>
      </vt:variant>
      <vt:variant>
        <vt:i4>0</vt:i4>
      </vt:variant>
      <vt:variant>
        <vt:i4>5</vt:i4>
      </vt:variant>
      <vt:variant>
        <vt:lpwstr/>
      </vt:variant>
      <vt:variant>
        <vt:lpwstr>_Toc63415489</vt:lpwstr>
      </vt:variant>
      <vt:variant>
        <vt:i4>1638463</vt:i4>
      </vt:variant>
      <vt:variant>
        <vt:i4>119</vt:i4>
      </vt:variant>
      <vt:variant>
        <vt:i4>0</vt:i4>
      </vt:variant>
      <vt:variant>
        <vt:i4>5</vt:i4>
      </vt:variant>
      <vt:variant>
        <vt:lpwstr/>
      </vt:variant>
      <vt:variant>
        <vt:lpwstr>_Toc63415488</vt:lpwstr>
      </vt:variant>
      <vt:variant>
        <vt:i4>1441855</vt:i4>
      </vt:variant>
      <vt:variant>
        <vt:i4>113</vt:i4>
      </vt:variant>
      <vt:variant>
        <vt:i4>0</vt:i4>
      </vt:variant>
      <vt:variant>
        <vt:i4>5</vt:i4>
      </vt:variant>
      <vt:variant>
        <vt:lpwstr/>
      </vt:variant>
      <vt:variant>
        <vt:lpwstr>_Toc63415487</vt:lpwstr>
      </vt:variant>
      <vt:variant>
        <vt:i4>1507391</vt:i4>
      </vt:variant>
      <vt:variant>
        <vt:i4>107</vt:i4>
      </vt:variant>
      <vt:variant>
        <vt:i4>0</vt:i4>
      </vt:variant>
      <vt:variant>
        <vt:i4>5</vt:i4>
      </vt:variant>
      <vt:variant>
        <vt:lpwstr/>
      </vt:variant>
      <vt:variant>
        <vt:lpwstr>_Toc63415486</vt:lpwstr>
      </vt:variant>
      <vt:variant>
        <vt:i4>1310783</vt:i4>
      </vt:variant>
      <vt:variant>
        <vt:i4>101</vt:i4>
      </vt:variant>
      <vt:variant>
        <vt:i4>0</vt:i4>
      </vt:variant>
      <vt:variant>
        <vt:i4>5</vt:i4>
      </vt:variant>
      <vt:variant>
        <vt:lpwstr/>
      </vt:variant>
      <vt:variant>
        <vt:lpwstr>_Toc63415485</vt:lpwstr>
      </vt:variant>
      <vt:variant>
        <vt:i4>1376319</vt:i4>
      </vt:variant>
      <vt:variant>
        <vt:i4>95</vt:i4>
      </vt:variant>
      <vt:variant>
        <vt:i4>0</vt:i4>
      </vt:variant>
      <vt:variant>
        <vt:i4>5</vt:i4>
      </vt:variant>
      <vt:variant>
        <vt:lpwstr/>
      </vt:variant>
      <vt:variant>
        <vt:lpwstr>_Toc63415484</vt:lpwstr>
      </vt:variant>
      <vt:variant>
        <vt:i4>1179711</vt:i4>
      </vt:variant>
      <vt:variant>
        <vt:i4>89</vt:i4>
      </vt:variant>
      <vt:variant>
        <vt:i4>0</vt:i4>
      </vt:variant>
      <vt:variant>
        <vt:i4>5</vt:i4>
      </vt:variant>
      <vt:variant>
        <vt:lpwstr/>
      </vt:variant>
      <vt:variant>
        <vt:lpwstr>_Toc63415483</vt:lpwstr>
      </vt:variant>
      <vt:variant>
        <vt:i4>1245247</vt:i4>
      </vt:variant>
      <vt:variant>
        <vt:i4>83</vt:i4>
      </vt:variant>
      <vt:variant>
        <vt:i4>0</vt:i4>
      </vt:variant>
      <vt:variant>
        <vt:i4>5</vt:i4>
      </vt:variant>
      <vt:variant>
        <vt:lpwstr/>
      </vt:variant>
      <vt:variant>
        <vt:lpwstr>_Toc63415482</vt:lpwstr>
      </vt:variant>
      <vt:variant>
        <vt:i4>1048639</vt:i4>
      </vt:variant>
      <vt:variant>
        <vt:i4>77</vt:i4>
      </vt:variant>
      <vt:variant>
        <vt:i4>0</vt:i4>
      </vt:variant>
      <vt:variant>
        <vt:i4>5</vt:i4>
      </vt:variant>
      <vt:variant>
        <vt:lpwstr/>
      </vt:variant>
      <vt:variant>
        <vt:lpwstr>_Toc63415481</vt:lpwstr>
      </vt:variant>
      <vt:variant>
        <vt:i4>1114175</vt:i4>
      </vt:variant>
      <vt:variant>
        <vt:i4>71</vt:i4>
      </vt:variant>
      <vt:variant>
        <vt:i4>0</vt:i4>
      </vt:variant>
      <vt:variant>
        <vt:i4>5</vt:i4>
      </vt:variant>
      <vt:variant>
        <vt:lpwstr/>
      </vt:variant>
      <vt:variant>
        <vt:lpwstr>_Toc63415480</vt:lpwstr>
      </vt:variant>
      <vt:variant>
        <vt:i4>1572912</vt:i4>
      </vt:variant>
      <vt:variant>
        <vt:i4>65</vt:i4>
      </vt:variant>
      <vt:variant>
        <vt:i4>0</vt:i4>
      </vt:variant>
      <vt:variant>
        <vt:i4>5</vt:i4>
      </vt:variant>
      <vt:variant>
        <vt:lpwstr/>
      </vt:variant>
      <vt:variant>
        <vt:lpwstr>_Toc63415479</vt:lpwstr>
      </vt:variant>
      <vt:variant>
        <vt:i4>1638448</vt:i4>
      </vt:variant>
      <vt:variant>
        <vt:i4>59</vt:i4>
      </vt:variant>
      <vt:variant>
        <vt:i4>0</vt:i4>
      </vt:variant>
      <vt:variant>
        <vt:i4>5</vt:i4>
      </vt:variant>
      <vt:variant>
        <vt:lpwstr/>
      </vt:variant>
      <vt:variant>
        <vt:lpwstr>_Toc63415478</vt:lpwstr>
      </vt:variant>
      <vt:variant>
        <vt:i4>1441840</vt:i4>
      </vt:variant>
      <vt:variant>
        <vt:i4>53</vt:i4>
      </vt:variant>
      <vt:variant>
        <vt:i4>0</vt:i4>
      </vt:variant>
      <vt:variant>
        <vt:i4>5</vt:i4>
      </vt:variant>
      <vt:variant>
        <vt:lpwstr/>
      </vt:variant>
      <vt:variant>
        <vt:lpwstr>_Toc63415477</vt:lpwstr>
      </vt:variant>
      <vt:variant>
        <vt:i4>1507376</vt:i4>
      </vt:variant>
      <vt:variant>
        <vt:i4>47</vt:i4>
      </vt:variant>
      <vt:variant>
        <vt:i4>0</vt:i4>
      </vt:variant>
      <vt:variant>
        <vt:i4>5</vt:i4>
      </vt:variant>
      <vt:variant>
        <vt:lpwstr/>
      </vt:variant>
      <vt:variant>
        <vt:lpwstr>_Toc63415476</vt:lpwstr>
      </vt:variant>
      <vt:variant>
        <vt:i4>1310768</vt:i4>
      </vt:variant>
      <vt:variant>
        <vt:i4>41</vt:i4>
      </vt:variant>
      <vt:variant>
        <vt:i4>0</vt:i4>
      </vt:variant>
      <vt:variant>
        <vt:i4>5</vt:i4>
      </vt:variant>
      <vt:variant>
        <vt:lpwstr/>
      </vt:variant>
      <vt:variant>
        <vt:lpwstr>_Toc63415475</vt:lpwstr>
      </vt:variant>
      <vt:variant>
        <vt:i4>1376304</vt:i4>
      </vt:variant>
      <vt:variant>
        <vt:i4>35</vt:i4>
      </vt:variant>
      <vt:variant>
        <vt:i4>0</vt:i4>
      </vt:variant>
      <vt:variant>
        <vt:i4>5</vt:i4>
      </vt:variant>
      <vt:variant>
        <vt:lpwstr/>
      </vt:variant>
      <vt:variant>
        <vt:lpwstr>_Toc63415474</vt:lpwstr>
      </vt:variant>
      <vt:variant>
        <vt:i4>1179696</vt:i4>
      </vt:variant>
      <vt:variant>
        <vt:i4>29</vt:i4>
      </vt:variant>
      <vt:variant>
        <vt:i4>0</vt:i4>
      </vt:variant>
      <vt:variant>
        <vt:i4>5</vt:i4>
      </vt:variant>
      <vt:variant>
        <vt:lpwstr/>
      </vt:variant>
      <vt:variant>
        <vt:lpwstr>_Toc63415473</vt:lpwstr>
      </vt:variant>
      <vt:variant>
        <vt:i4>1245232</vt:i4>
      </vt:variant>
      <vt:variant>
        <vt:i4>23</vt:i4>
      </vt:variant>
      <vt:variant>
        <vt:i4>0</vt:i4>
      </vt:variant>
      <vt:variant>
        <vt:i4>5</vt:i4>
      </vt:variant>
      <vt:variant>
        <vt:lpwstr/>
      </vt:variant>
      <vt:variant>
        <vt:lpwstr>_Toc63415472</vt:lpwstr>
      </vt:variant>
      <vt:variant>
        <vt:i4>1048624</vt:i4>
      </vt:variant>
      <vt:variant>
        <vt:i4>17</vt:i4>
      </vt:variant>
      <vt:variant>
        <vt:i4>0</vt:i4>
      </vt:variant>
      <vt:variant>
        <vt:i4>5</vt:i4>
      </vt:variant>
      <vt:variant>
        <vt:lpwstr/>
      </vt:variant>
      <vt:variant>
        <vt:lpwstr>_Toc63415471</vt:lpwstr>
      </vt:variant>
      <vt:variant>
        <vt:i4>1114160</vt:i4>
      </vt:variant>
      <vt:variant>
        <vt:i4>11</vt:i4>
      </vt:variant>
      <vt:variant>
        <vt:i4>0</vt:i4>
      </vt:variant>
      <vt:variant>
        <vt:i4>5</vt:i4>
      </vt:variant>
      <vt:variant>
        <vt:lpwstr/>
      </vt:variant>
      <vt:variant>
        <vt:lpwstr>_Toc63415470</vt:lpwstr>
      </vt:variant>
      <vt:variant>
        <vt:i4>1572913</vt:i4>
      </vt:variant>
      <vt:variant>
        <vt:i4>5</vt:i4>
      </vt:variant>
      <vt:variant>
        <vt:i4>0</vt:i4>
      </vt:variant>
      <vt:variant>
        <vt:i4>5</vt:i4>
      </vt:variant>
      <vt:variant>
        <vt:lpwstr/>
      </vt:variant>
      <vt:variant>
        <vt:lpwstr>_Toc63415469</vt:lpwstr>
      </vt:variant>
      <vt:variant>
        <vt:i4>8257549</vt:i4>
      </vt:variant>
      <vt:variant>
        <vt:i4>0</vt:i4>
      </vt:variant>
      <vt:variant>
        <vt:i4>0</vt:i4>
      </vt:variant>
      <vt:variant>
        <vt:i4>5</vt:i4>
      </vt:variant>
      <vt:variant>
        <vt:lpwstr>mailto:piercarlo.smith@woodplc.com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piercarlo.smith@woodplc.com</dc:creator>
  <cp:lastModifiedBy>Short, Jeremy</cp:lastModifiedBy>
  <cp:revision>7</cp:revision>
  <cp:lastPrinted>2019-08-08T15:42:00Z</cp:lastPrinted>
  <dcterms:created xsi:type="dcterms:W3CDTF">2021-04-12T08:34:00Z</dcterms:created>
  <dcterms:modified xsi:type="dcterms:W3CDTF">2021-04-16T08:33:00Z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